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440601-2026-00653</w:t>
      </w:r>
    </w:p>
    <w:p>
      <w:pPr>
        <w:pStyle w:val="null3"/>
        <w:jc w:val="center"/>
        <w:outlineLvl w:val="3"/>
      </w:pPr>
      <w:r>
        <w:rPr>
          <w:sz w:val="24"/>
          <w:b/>
        </w:rPr>
        <w:t>采购项目编号：</w:t>
      </w:r>
      <w:r>
        <w:rPr>
          <w:sz w:val="24"/>
          <w:b/>
        </w:rPr>
        <w:t>440601-2026-00653</w:t>
      </w:r>
    </w:p>
    <w:p>
      <w:pPr>
        <w:pStyle w:val="null3"/>
        <w:jc w:val="center"/>
        <w:outlineLvl w:val="3"/>
      </w:pPr>
      <w:r>
        <w:rPr>
          <w:sz w:val="24"/>
          <w:b/>
        </w:rPr>
        <w:t>项目名称：</w:t>
      </w:r>
      <w:r>
        <w:rPr>
          <w:sz w:val="24"/>
          <w:b/>
        </w:rPr>
        <w:t>“领航佛商”系列活动</w:t>
      </w:r>
    </w:p>
    <w:p>
      <w:pPr>
        <w:pStyle w:val="null3"/>
        <w:jc w:val="center"/>
        <w:outlineLvl w:val="3"/>
      </w:pPr>
      <w:r>
        <w:rPr>
          <w:sz w:val="24"/>
          <w:b/>
        </w:rPr>
        <w:t>采购人：</w:t>
      </w:r>
      <w:r>
        <w:rPr>
          <w:sz w:val="24"/>
          <w:b/>
        </w:rPr>
        <w:t>佛山市工商业联合会</w:t>
      </w:r>
    </w:p>
    <w:p>
      <w:pPr>
        <w:pStyle w:val="null3"/>
        <w:jc w:val="center"/>
        <w:outlineLvl w:val="3"/>
      </w:pPr>
      <w:r>
        <w:rPr>
          <w:sz w:val="24"/>
          <w:b/>
        </w:rPr>
        <w:t>采购代理机构：</w:t>
      </w:r>
      <w:r>
        <w:rPr>
          <w:sz w:val="24"/>
          <w:b/>
        </w:rPr>
        <w:t>佛山市粤创招标代理有限公司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佛山市粤创招标代理有限公司</w:t>
      </w:r>
      <w:r>
        <w:rPr/>
        <w:t>受</w:t>
      </w:r>
      <w:r>
        <w:rPr/>
        <w:t>佛山市工商业联合会</w:t>
      </w:r>
      <w:r>
        <w:rPr/>
        <w:t>的委托，采用</w:t>
      </w:r>
      <w:r>
        <w:rPr/>
        <w:t>竞争性磋商</w:t>
      </w:r>
      <w:r>
        <w:rPr/>
        <w:t>方式组织采购</w:t>
      </w:r>
      <w:r>
        <w:rPr/>
        <w:t>“领航佛商”系列活动</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“领航佛商”系列活动</w:t>
      </w:r>
    </w:p>
    <w:p>
      <w:pPr>
        <w:pStyle w:val="null3"/>
        <w:ind w:firstLine="480"/>
      </w:pPr>
      <w:r>
        <w:rPr/>
        <w:t>采购计划编号：</w:t>
      </w:r>
      <w:r>
        <w:rPr/>
        <w:t>440601-2026-00653</w:t>
      </w:r>
    </w:p>
    <w:p>
      <w:pPr>
        <w:pStyle w:val="null3"/>
        <w:ind w:firstLine="480"/>
      </w:pPr>
      <w:r>
        <w:rPr/>
        <w:t>采购项目编号：</w:t>
      </w:r>
      <w:r>
        <w:rPr/>
        <w:t>440601-2026-00653</w:t>
      </w:r>
    </w:p>
    <w:p>
      <w:pPr>
        <w:pStyle w:val="null3"/>
        <w:ind w:firstLine="480"/>
      </w:pPr>
      <w:r>
        <w:rPr/>
        <w:t>采购方式：</w:t>
      </w:r>
      <w:r>
        <w:rPr/>
        <w:t>竞争性磋商</w:t>
      </w:r>
    </w:p>
    <w:p>
      <w:pPr>
        <w:pStyle w:val="null3"/>
        <w:ind w:firstLine="480"/>
      </w:pPr>
      <w:r>
        <w:rPr/>
        <w:t>预算金额：</w:t>
      </w:r>
      <w:r>
        <w:rPr/>
        <w:t>1,000,000.00</w:t>
      </w:r>
      <w:r>
        <w:rPr/>
        <w:t>元</w:t>
      </w:r>
    </w:p>
    <w:p>
      <w:pPr>
        <w:pStyle w:val="null3"/>
        <w:outlineLvl w:val="3"/>
      </w:pPr>
      <w:r>
        <w:rPr>
          <w:sz w:val="24"/>
          <w:b/>
        </w:rPr>
        <w:t>2.项目内容及需求情况（采购项目技术规格、参数及要求）</w:t>
      </w:r>
    </w:p>
    <w:p>
      <w:pPr>
        <w:pStyle w:val="null3"/>
      </w:pPr>
      <w:r>
        <w:rPr/>
        <w:t>采购包1(2026年“领航佛商”系列活动):</w:t>
      </w:r>
    </w:p>
    <w:p>
      <w:pPr>
        <w:pStyle w:val="null3"/>
      </w:pPr>
      <w:r>
        <w:rPr/>
        <w:t>采购包预算金额：1,000,000.00元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其他服务</w:t>
            </w:r>
          </w:p>
        </w:tc>
        <w:tc>
          <w:tcPr>
            <w:tcW w:type="dxa" w:w="2136"/>
          </w:tcPr>
          <w:p>
            <w:pPr>
              <w:pStyle w:val="null3"/>
            </w:pPr>
            <w:r>
              <w:rPr/>
              <w:t>2026年“领航佛商”系列活动</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合同履行期限：自合同签订之日至2026年12月1日前</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有效的营业执照（或事业单位法人证书，或社会团体法人登记证书，或其他具有独立承担民事责任的能力的有效证照）扫描件，如供应商为自然人的需提供自然人身份证明扫描件。</w:t>
      </w:r>
    </w:p>
    <w:p>
      <w:pPr>
        <w:pStyle w:val="null3"/>
      </w:pPr>
      <w:r>
        <w:rPr/>
        <w:t>2）有依法缴纳税收和社会保障资金的良好记录：须提供下列任一项证明材料：①2025年9月（含本月）至响应截止时间止任意一个月依法缴纳税收和社会保障资金的相关材料。如依法免税或不需要缴纳社会保障资金的，提供相应证明材料；②提供《政府采购供应商资格信用承诺函》。</w:t>
      </w:r>
    </w:p>
    <w:p>
      <w:pPr>
        <w:pStyle w:val="null3"/>
      </w:pPr>
      <w:r>
        <w:rPr/>
        <w:t>3）具有良好的商业信誉和健全的财务会计制度：须提供下列任一项证明材料：①2024年度的财务报告或2025年9月（含本月）至响应截止时间止任意一个月的财务报表（资产负债表、利润表和现金流量表）扫描件；②基本开户银行出具2025年9月（含本月）至响应截止时间止任意一个月的资信证明，如资信证明不能体现基本开户账户的，应另附开户许可证。无开户许可证的，可提供由银行开具的《基本存款账户信息》（公户账户主档）或其他相关证明资料，以上文件均需加盖银行印章；③提供《政府采购供应商资格信用承诺函》。</w:t>
      </w:r>
    </w:p>
    <w:p>
      <w:pPr>
        <w:pStyle w:val="null3"/>
      </w:pPr>
      <w:r>
        <w:rPr/>
        <w:t>4）履行合同所必需的设备和专业技术能力：提供履行合同所必需的设备和专业技术能力的书面声明。</w:t>
      </w:r>
    </w:p>
    <w:p>
      <w:pPr>
        <w:pStyle w:val="null3"/>
      </w:pPr>
      <w:r>
        <w:rPr/>
        <w:t>5）参加采购活动前3年内，在经营活动中没有重大违法记录：提供《政府采购供应商资格信用承诺函》。重大违法记录，是指供应商因违法经营受到刑事处罚或者责令停产停业、吊销许可证或者执照、较大数额罚款等行政处罚。（对于“较大数额罚款”，根据《财政部关于&lt;中华人民共和国政府采购法实施条例&gt;第十九条第一款“较大数额罚款”具体适用问题的意见》（财库〔2022〕3号），明确《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采购包1（2026年“领航佛商”系列活动）：</w:t>
      </w:r>
      <w:r>
        <w:rPr/>
        <w:t>①本项目属于专门面向中小企业采购的项目；②本项目采购标的对应的中小企业划分标准所属行业：其他未列明行业。</w:t>
      </w:r>
    </w:p>
    <w:p>
      <w:pPr>
        <w:pStyle w:val="null3"/>
        <w:outlineLvl w:val="3"/>
      </w:pPr>
      <w:r>
        <w:rPr>
          <w:sz w:val="24"/>
          <w:b/>
        </w:rPr>
        <w:t>3.本项目特定的资格要求：</w:t>
      </w:r>
    </w:p>
    <w:p>
      <w:pPr>
        <w:pStyle w:val="null3"/>
      </w:pPr>
      <w:r>
        <w:rPr/>
        <w:t>采购包1（2026年“领航佛商”系列活动）：</w:t>
      </w:r>
    </w:p>
    <w:p>
      <w:pPr>
        <w:pStyle w:val="null3"/>
      </w:pPr>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2)单位负责人为同一人或者存在直接控股、管理关系的不同供应商，不得同时参加本采购项目响应。为本项目提供整体设计、规范编制或者项目管理、监理、检测等服务的供应商，不得再参与本项目响应。</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r>
        <w:rPr/>
        <w:t>广东省公共资源交易平台（https://ygp.gdzwfw.gov.cn/ggzy-portal/#/440600/jygg）以及佛山市粤创招标代理有限公司网站（http://www.fsyczb.com/）</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佛山市工商业联合会</w:t>
      </w:r>
    </w:p>
    <w:p>
      <w:pPr>
        <w:pStyle w:val="null3"/>
        <w:ind w:firstLine="480"/>
      </w:pPr>
      <w:r>
        <w:rPr/>
        <w:t>地址：</w:t>
      </w:r>
      <w:r>
        <w:rPr/>
        <w:t>佛山市禅城区汾江中路217号工商大厦三楼</w:t>
      </w:r>
    </w:p>
    <w:p>
      <w:pPr>
        <w:pStyle w:val="null3"/>
        <w:ind w:firstLine="480"/>
      </w:pPr>
      <w:r>
        <w:rPr/>
        <w:t>联系方式：</w:t>
      </w:r>
      <w:r>
        <w:rPr/>
        <w:t>0757-83388327</w:t>
      </w:r>
    </w:p>
    <w:p>
      <w:pPr>
        <w:pStyle w:val="null3"/>
        <w:outlineLvl w:val="3"/>
      </w:pPr>
      <w:r>
        <w:rPr>
          <w:sz w:val="24"/>
          <w:b/>
        </w:rPr>
        <w:t>2.采购代理机构信息</w:t>
      </w:r>
    </w:p>
    <w:p>
      <w:pPr>
        <w:pStyle w:val="null3"/>
        <w:ind w:firstLine="480"/>
      </w:pPr>
      <w:r>
        <w:rPr/>
        <w:t>名称：</w:t>
      </w:r>
      <w:r>
        <w:rPr/>
        <w:t>佛山市粤创招标代理有限公司</w:t>
      </w:r>
    </w:p>
    <w:p>
      <w:pPr>
        <w:pStyle w:val="null3"/>
        <w:ind w:firstLine="480"/>
      </w:pPr>
      <w:r>
        <w:rPr/>
        <w:t xml:space="preserve"> 地址：</w:t>
      </w:r>
      <w:r>
        <w:rPr/>
        <w:t>佛山市南海区桂城街道夏南路58号方舟建筑产业中心2座3栋1321室</w:t>
      </w:r>
    </w:p>
    <w:p>
      <w:pPr>
        <w:pStyle w:val="null3"/>
        <w:ind w:firstLine="480"/>
      </w:pPr>
      <w:r>
        <w:rPr/>
        <w:t xml:space="preserve"> 联系方式：</w:t>
      </w:r>
      <w:r>
        <w:rPr/>
        <w:t>0757-86260021</w:t>
      </w:r>
    </w:p>
    <w:p>
      <w:pPr>
        <w:pStyle w:val="null3"/>
        <w:outlineLvl w:val="3"/>
      </w:pPr>
      <w:r>
        <w:rPr>
          <w:sz w:val="24"/>
          <w:b/>
        </w:rPr>
        <w:t xml:space="preserve"> 3.项目联系方式</w:t>
      </w:r>
    </w:p>
    <w:p>
      <w:pPr>
        <w:pStyle w:val="null3"/>
        <w:ind w:firstLine="480"/>
      </w:pPr>
      <w:r>
        <w:rPr/>
        <w:t xml:space="preserve"> 项目联系人：</w:t>
      </w:r>
      <w:r>
        <w:rPr/>
        <w:t>黄小姐</w:t>
      </w:r>
    </w:p>
    <w:p>
      <w:pPr>
        <w:pStyle w:val="null3"/>
        <w:ind w:firstLine="480"/>
      </w:pPr>
      <w:r>
        <w:rPr/>
        <w:t xml:space="preserve"> 电话：</w:t>
      </w:r>
      <w:r>
        <w:rPr/>
        <w:t>0757-86260021</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佛山市粤创招标代理有限公司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t>2026年是“十五五”开局之年。《中共中央关于制定国民经济和社会发展第十五个五年规划的建议》明确，要坚持和落实“两个毫不动摇”，促进各种经济优势互补、共同发展。</w:t>
      </w:r>
      <w:r>
        <w:rPr/>
        <w:t>广东省高质量发展大会以</w:t>
      </w:r>
      <w:r>
        <w:rPr/>
        <w:t>“制造业与服务业协同发展”为主题，</w:t>
      </w:r>
      <w:r>
        <w:rPr/>
        <w:t>强调要以制造业之强牵引服务业之优，以服务业之优增进制造业之强，在</w:t>
      </w:r>
      <w:r>
        <w:rPr/>
        <w:t>“制造强省”与“服务高地”相互成就中打开产业发展新天地。佛山市委市政府</w:t>
      </w:r>
      <w:r>
        <w:rPr/>
        <w:t>锚定</w:t>
      </w:r>
      <w:r>
        <w:rPr/>
        <w:t>“</w:t>
      </w:r>
      <w:r>
        <w:rPr/>
        <w:t>实体经济为本、制造业当家</w:t>
      </w:r>
      <w:r>
        <w:rPr/>
        <w:t>”</w:t>
      </w:r>
      <w:r>
        <w:rPr/>
        <w:t>，坚持智能化、绿色化、融合化方向，持续推动传统产业转型升级、新兴产业发展壮大、未来产业培育布局</w:t>
      </w:r>
      <w:r>
        <w:rPr/>
        <w:t>“三箭齐发”，加快发展现代服务业，着力构建更具竞争力的现代化产业体系</w:t>
      </w:r>
      <w:r>
        <w:rPr/>
        <w:t>，助力</w:t>
      </w:r>
      <w:r>
        <w:rPr/>
        <w:t>“广货行天下”</w:t>
      </w:r>
      <w:r>
        <w:rPr/>
        <w:t>，加快从</w:t>
      </w:r>
      <w:r>
        <w:rPr/>
        <w:t>“制造大市”向“智造强市”跃进。2026年佛山市政府工作报告</w:t>
      </w:r>
      <w:r>
        <w:rPr/>
        <w:t>部署</w:t>
      </w:r>
      <w:r>
        <w:rPr/>
        <w:t>，实施</w:t>
      </w:r>
      <w:r>
        <w:rPr/>
        <w:t>“领航佛商”计划，办好“企业家日”系列活动，</w:t>
      </w:r>
      <w:r>
        <w:rPr/>
        <w:t>弘扬企业家精神</w:t>
      </w:r>
      <w:r>
        <w:rPr/>
        <w:t>。</w:t>
      </w:r>
    </w:p>
    <w:p>
      <w:pPr>
        <w:pStyle w:val="null3"/>
        <w:ind w:firstLine="400"/>
        <w:jc w:val="both"/>
      </w:pPr>
      <w:r>
        <w:rPr>
          <w:sz w:val="21"/>
        </w:rPr>
        <w:t>为深入贯彻落实</w:t>
      </w:r>
      <w:r>
        <w:rPr>
          <w:sz w:val="21"/>
        </w:rPr>
        <w:t>全省高质量发展大会</w:t>
      </w:r>
      <w:r>
        <w:rPr>
          <w:sz w:val="21"/>
        </w:rPr>
        <w:t>、</w:t>
      </w:r>
      <w:r>
        <w:rPr>
          <w:sz w:val="21"/>
        </w:rPr>
        <w:t>佛山市高质量发展大会暨</w:t>
      </w:r>
      <w:r>
        <w:rPr>
          <w:sz w:val="21"/>
        </w:rPr>
        <w:t>2026年企业家大会精神</w:t>
      </w:r>
      <w:r>
        <w:rPr>
          <w:sz w:val="21"/>
        </w:rPr>
        <w:t>，充分发挥工商联作用优势，佛山市工商联拟以</w:t>
      </w:r>
      <w:r>
        <w:rPr>
          <w:sz w:val="21"/>
        </w:rPr>
        <w:t>“三箭齐发 智造强市”为主题，开展2026年“领航佛商”系列活动，通过综合智库建设及相关成果发布、跨城对标调研学习活动、“草灌乔林”企业赋能活动、“佛山市企业家日”活动等工作，引导广大佛商重振“敢饮头啖汤”的胆识与智慧，凝聚民营经济力量，助力“再造一个新佛山”。</w:t>
      </w:r>
    </w:p>
    <w:p>
      <w:pPr>
        <w:pStyle w:val="null3"/>
      </w:pPr>
      <w:r>
        <w:rPr/>
        <w:t>采购包1（2026年“领航佛商”系列活动）</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自合同签订之日至2026年12月1日前</w:t>
            </w:r>
          </w:p>
        </w:tc>
      </w:tr>
      <w:tr>
        <w:tc>
          <w:tcPr>
            <w:tcW w:type="dxa" w:w="4153"/>
          </w:tcPr>
          <w:p>
            <w:pPr>
              <w:pStyle w:val="null3"/>
            </w:pPr>
            <w:r>
              <w:rPr/>
              <w:t>标的提供的地点</w:t>
            </w:r>
          </w:p>
        </w:tc>
        <w:tc>
          <w:tcPr>
            <w:tcW w:type="dxa" w:w="4153"/>
          </w:tcPr>
          <w:p>
            <w:pPr>
              <w:pStyle w:val="null3"/>
            </w:pPr>
            <w:r>
              <w:rPr/>
              <w:t>采购人（用户）指定地点</w:t>
            </w:r>
          </w:p>
        </w:tc>
      </w:tr>
      <w:tr>
        <w:tc>
          <w:tcPr>
            <w:tcW w:type="dxa" w:w="4153"/>
          </w:tcPr>
          <w:p>
            <w:pPr>
              <w:pStyle w:val="null3"/>
            </w:pPr>
            <w:r>
              <w:rPr/>
              <w:t>付款方式</w:t>
            </w:r>
          </w:p>
        </w:tc>
        <w:tc>
          <w:tcPr>
            <w:tcW w:type="dxa" w:w="4153"/>
          </w:tcPr>
          <w:p>
            <w:pPr>
              <w:pStyle w:val="null3"/>
            </w:pPr>
            <w:r>
              <w:rPr/>
              <w:t>1期：支付比例60%,合同签订生效后，采购人在收到成交供应商提供的等额有效发票后10个工作日内向成交供应商支付合同总额的60%（即各子项目成交金额的60%相加之和）。</w:t>
            </w:r>
          </w:p>
          <w:p>
            <w:pPr>
              <w:pStyle w:val="null3"/>
            </w:pPr>
            <w:r>
              <w:rPr/>
              <w:t>2期：支付比例40%,成交供应商完成磋商文件要求的服务内容并经通过采购人验收合格后，采购人在收到成交供应商有效发票后10个工作日内向成交供应商支付合同总额的40%（即各子项目中标金额的40%相加之和），如有个别子项目因不可抗力等原因导致无法执行，则相应扣减已支付的预付款再支付相应费用。 按合同支付款项前，成交供应商必须先向采购人提供有效发票，且收款方、出具发票方、合同乙方均必须与成交供应商名称一致，否则采购人有权顺延付款时间。</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1期：（1）成交供应商必须承担验收过程中产生的一切费用。 （2）成交供应商提供的活动必须与采购人要求内容相符，按照采购人验收要求提交有关材料。 （3）验收标准：符合国家、广东省、佛山市相关规定和磋商文件要求，国家无明确验收标准的，按行业规范或通行做法验收。</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其他，1.响应供应商需提供项目总体服务方案，方案包括但不限于总体服务安排、项目难点重点分析、人员配置情况和安排、服务承诺、建议等。 2.响应供应商需提供跨城对标调研学习活动，方案包括但不限于具体2场的跨城调研行程安排、调研企业和全国“四好商会”介绍、复盘活动、资源对接渠道、服务保障措施、对标效果意义等。 3.响应供应商需提供3场“草灌乔林”企业赋能活动方案，方案包括但不限于资源链接、场地选择、活动配套保障、应急预案等。 4.响应供应商需提供“‘佛山民营企业的品牌建设现状、问题及对策研究”专题调研,方案包括但不限于设计组织调研活动、进度安排计划、调研成果提纲、成果转化等。 5.响应供应商需提供“构建‘企业家+科学家+金融家’产业生态、服务‘智造强市’建设的路径研究”专题调研 ，方案包括但不限于设计组织调研活动、进度安排计划、调研成果提纲、成果转化等。 6.响应供应商需提供专题片方案，方案包括但不限于策划脚本、制作周期、人员设备配置、意识形态审核、售后服务保障等。 7.响应供应商需提供“佛山市企业家日”活动方案，方案包括但不限于专家资源、人员设备配置、物料及执行等。 8.响应供应商需提供成果汇编方案,方案包括但不限于设计、进度安排计划、提纲、成果转化等。 9.响应供应商需提供专家导师资源，专家导师须对民营企业和企业家有一定的研究，在中国经济学界具有一定的影响，能亲身参与本项目（包括但不限于2场跨城对标调研学习活动等）。</w:t>
            </w:r>
          </w:p>
          <w:p>
            <w:pPr>
              <w:pStyle w:val="null3"/>
            </w:pPr>
            <w:r>
              <w:rPr/>
              <w:t>异常低价响应审查，（一）出现下列情形之一的，磋商小组应当启动异常低价响应审查程序： 1.响应报价低于全部通过符合性审查供应商响应报价平均值50%的，即响应报价&lt;全部通过符合性审查供应商响应报价平均值×50%； 2.响应报价低于通过符合性审查的次低报价供应商响应报价50%的，即响应报价&lt;通过符合性审查的次低报价供应商响应报价×50%； 3.响应报价低于采购项目最高限价45%的，即响应报价&lt;采购项目最高限价×45%； 4.磋商小组基于专业判断，认为供应商报价过低，有可能影响产品质量或者不能诚信履约的其他情形。 （二）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其他服务</w:t>
            </w:r>
          </w:p>
        </w:tc>
        <w:tc>
          <w:tcPr>
            <w:tcW w:type="dxa" w:w="933"/>
          </w:tcPr>
          <w:p>
            <w:pPr>
              <w:pStyle w:val="null3"/>
              <w:jc w:val="left"/>
            </w:pPr>
            <w:r>
              <w:rPr/>
              <w:t>2026年“领航佛商”系列活动</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1,000,000.00</w:t>
            </w:r>
          </w:p>
        </w:tc>
        <w:tc>
          <w:tcPr>
            <w:tcW w:type="dxa" w:w="933"/>
          </w:tcPr>
          <w:p>
            <w:pPr>
              <w:pStyle w:val="null3"/>
              <w:jc w:val="right"/>
            </w:pPr>
            <w:r>
              <w:rPr/>
              <w:t>1,000,000.00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2026年“领航佛商”系列活动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1"/>
                <w:b/>
                <w:color w:val="000000"/>
              </w:rPr>
              <w:t>服务内容：</w:t>
            </w:r>
          </w:p>
          <w:p>
            <w:pPr>
              <w:pStyle w:val="null3"/>
              <w:ind w:firstLine="420"/>
              <w:jc w:val="both"/>
            </w:pPr>
            <w:r>
              <w:rPr/>
              <w:t>开展</w:t>
            </w:r>
            <w:r>
              <w:rPr/>
              <w:t>2026年“领航佛商”系列活动，引导广大佛商重振“敢饮头啖汤”的胆识与智慧，凝聚民营经济力量，助力“再造一个新佛山</w:t>
            </w:r>
            <w:r>
              <w:rPr>
                <w:sz w:val="21"/>
                <w:color w:val="000000"/>
              </w:rPr>
              <w:t>，</w:t>
            </w:r>
            <w:r>
              <w:rPr>
                <w:sz w:val="21"/>
                <w:color w:val="000000"/>
              </w:rPr>
              <w:t>202</w:t>
            </w:r>
            <w:r>
              <w:rPr>
                <w:sz w:val="21"/>
                <w:color w:val="000000"/>
              </w:rPr>
              <w:t>6</w:t>
            </w:r>
            <w:r>
              <w:rPr>
                <w:sz w:val="21"/>
                <w:color w:val="000000"/>
              </w:rPr>
              <w:t>年</w:t>
            </w:r>
            <w:r>
              <w:rPr>
                <w:sz w:val="21"/>
                <w:color w:val="000000"/>
              </w:rPr>
              <w:t>“领航佛商”系列活动</w:t>
            </w:r>
            <w:r>
              <w:rPr>
                <w:sz w:val="21"/>
                <w:color w:val="000000"/>
              </w:rPr>
              <w:t>主要包括：</w:t>
            </w:r>
          </w:p>
          <w:p>
            <w:pPr>
              <w:pStyle w:val="null3"/>
              <w:jc w:val="both"/>
            </w:pPr>
            <w:r>
              <w:rPr>
                <w:sz w:val="21"/>
                <w:color w:val="000000"/>
              </w:rPr>
              <w:t>1.</w:t>
            </w:r>
            <w:r>
              <w:rPr/>
              <w:t>综合智库建设及相关成果发布</w:t>
            </w:r>
            <w:r>
              <w:rPr>
                <w:sz w:val="21"/>
                <w:color w:val="000000"/>
              </w:rPr>
              <w:t>。</w:t>
            </w:r>
          </w:p>
          <w:p>
            <w:pPr>
              <w:pStyle w:val="null3"/>
              <w:jc w:val="both"/>
            </w:pPr>
            <w:r>
              <w:rPr>
                <w:sz w:val="21"/>
                <w:color w:val="000000"/>
              </w:rPr>
              <w:t>2.</w:t>
            </w:r>
            <w:r>
              <w:rPr/>
              <w:t>跨城对标调研学习活动</w:t>
            </w:r>
            <w:r>
              <w:rPr>
                <w:sz w:val="21"/>
                <w:color w:val="000000"/>
              </w:rPr>
              <w:t>。</w:t>
            </w:r>
          </w:p>
          <w:p>
            <w:pPr>
              <w:pStyle w:val="null3"/>
              <w:jc w:val="both"/>
            </w:pPr>
            <w:r>
              <w:rPr>
                <w:sz w:val="21"/>
                <w:color w:val="000000"/>
              </w:rPr>
              <w:t>3.</w:t>
            </w:r>
            <w:r>
              <w:rPr/>
              <w:t>“草灌乔林”企业赋能活动</w:t>
            </w:r>
            <w:r>
              <w:rPr>
                <w:sz w:val="21"/>
                <w:color w:val="000000"/>
              </w:rPr>
              <w:t>。</w:t>
            </w:r>
          </w:p>
          <w:p>
            <w:pPr>
              <w:pStyle w:val="null3"/>
            </w:pPr>
            <w:r>
              <w:rPr>
                <w:sz w:val="21"/>
                <w:color w:val="000000"/>
              </w:rPr>
              <w:t>4.</w:t>
            </w:r>
            <w:r>
              <w:rPr>
                <w:sz w:val="21"/>
              </w:rPr>
              <w:t>“佛山市企业家日”活动。</w:t>
            </w:r>
          </w:p>
        </w:tc>
      </w:tr>
      <w:tr>
        <w:tc>
          <w:tcPr>
            <w:tcW w:type="dxa" w:w="2076"/>
          </w:tcPr>
          <w:p/>
        </w:tc>
        <w:tc>
          <w:tcPr>
            <w:tcW w:type="dxa" w:w="415"/>
          </w:tcPr>
          <w:p>
            <w:pPr>
              <w:pStyle w:val="null3"/>
            </w:pPr>
            <w:r>
              <w:rPr/>
              <w:t>2</w:t>
            </w:r>
          </w:p>
        </w:tc>
        <w:tc>
          <w:tcPr>
            <w:tcW w:type="dxa" w:w="5814"/>
          </w:tcPr>
          <w:p>
            <w:pPr>
              <w:pStyle w:val="null3"/>
              <w:jc w:val="left"/>
            </w:pPr>
            <w:r>
              <w:rPr>
                <w:sz w:val="21"/>
                <w:b/>
                <w:color w:val="000000"/>
              </w:rPr>
              <w:t>服务要求：</w:t>
            </w:r>
          </w:p>
          <w:p>
            <w:pPr>
              <w:pStyle w:val="null3"/>
              <w:jc w:val="both"/>
            </w:pPr>
            <w:r>
              <w:rPr/>
              <w:t>一</w:t>
            </w:r>
            <w:r>
              <w:rPr/>
              <w:t>、</w:t>
            </w:r>
            <w:r>
              <w:rPr/>
              <w:t>综合智库建设及相关成果发布</w:t>
            </w:r>
          </w:p>
          <w:p>
            <w:pPr>
              <w:pStyle w:val="null3"/>
              <w:ind w:firstLine="400"/>
              <w:jc w:val="both"/>
            </w:pPr>
            <w:r>
              <w:rPr/>
              <w:t>聚合</w:t>
            </w:r>
            <w:r>
              <w:rPr/>
              <w:t>“政企学研媒”之力，充分利用专家、企业家、政府部门、高校、研究和赋能机构、媒体等资源，联动五区，建设综合型智库。</w:t>
            </w:r>
          </w:p>
          <w:p>
            <w:pPr>
              <w:pStyle w:val="null3"/>
              <w:jc w:val="both"/>
            </w:pPr>
            <w:r>
              <w:rPr/>
              <w:t>（一）两大专题调研</w:t>
            </w:r>
          </w:p>
          <w:p>
            <w:pPr>
              <w:pStyle w:val="null3"/>
              <w:ind w:firstLine="400"/>
              <w:jc w:val="both"/>
            </w:pPr>
            <w:r>
              <w:rPr/>
              <w:t>围绕</w:t>
            </w:r>
            <w:r>
              <w:rPr/>
              <w:t>“佛山民营企业的品牌建设现状、问题及对策研究”“构建‘企业家+科学家+金融家’产业生态、服务‘智造强市’建设的路径研究”两大专题，分别邀请专家学者作为课题导师，深入开展调查研究，并形成2份调研成果（每份成果要求提供三种形式，即不少于1.5万字的完整版、不多于2500字的精简版、PPT图文演示版）。</w:t>
            </w:r>
          </w:p>
          <w:p>
            <w:pPr>
              <w:pStyle w:val="null3"/>
              <w:jc w:val="both"/>
            </w:pPr>
            <w:r>
              <w:rPr/>
              <w:t>（二）两个专题片</w:t>
            </w:r>
          </w:p>
          <w:p>
            <w:pPr>
              <w:pStyle w:val="null3"/>
              <w:ind w:firstLine="400"/>
              <w:jc w:val="both"/>
            </w:pPr>
            <w:r>
              <w:rPr/>
              <w:t>两个共</w:t>
            </w:r>
            <w:r>
              <w:rPr/>
              <w:t>8分钟左右，含编导策划、导演、摄影、素材收集、灯光、剪辑、美术包装特效、专业调色、音乐音效、配音等。一是围绕“领航佛商”工作制作一个5分钟左右专题片，拟在2026年“佛山市企业家日”活动上播放；二是围绕“引导民营企业建立完善中国特色现代企业制度的佛山实践”制作一个3分钟左右专题片。</w:t>
            </w:r>
          </w:p>
          <w:p>
            <w:pPr>
              <w:pStyle w:val="null3"/>
              <w:jc w:val="both"/>
            </w:pPr>
            <w:r>
              <w:rPr/>
              <w:t>（三）一份成果汇编及发布</w:t>
            </w:r>
          </w:p>
          <w:p>
            <w:pPr>
              <w:pStyle w:val="null3"/>
              <w:ind w:firstLine="400"/>
              <w:jc w:val="both"/>
            </w:pPr>
            <w:r>
              <w:rPr/>
              <w:t>整合企业家日前后相关活动情况及年度成果（包括专家导师观点、两大专题调研、跨城对标调研学习、</w:t>
            </w:r>
            <w:r>
              <w:rPr/>
              <w:t>“草灌乔林”企业赋能活动、佛山民营经济相关动态，等等），并汇编成册，字数不少于12万字。制作2000本，广泛分发至民营企业家，同时加强宣传推广。</w:t>
            </w:r>
          </w:p>
          <w:p>
            <w:pPr>
              <w:pStyle w:val="null3"/>
              <w:jc w:val="both"/>
            </w:pPr>
            <w:r>
              <w:rPr/>
              <w:t>二、跨城对标调研学习活动</w:t>
            </w:r>
          </w:p>
          <w:p>
            <w:pPr>
              <w:pStyle w:val="null3"/>
              <w:ind w:firstLine="400"/>
              <w:jc w:val="both"/>
            </w:pPr>
            <w:r>
              <w:rPr/>
              <w:t>“跳出佛山，看佛山，见未来”。对标先进，是助力民营企业突破发展瓶颈、实现战略升级的重要路径。2026年市工商联将精心组织专家、企业家和商协会代表、市和区工商联机关人员，奔赴对标城市对当地工商联、全国“四好商会”、骨干企业、新质生产力代表企业等进行调研学习并开展复盘，参加人员对所见所闻进行深度思考和思想碰撞，专家导师进行观点提炼、思想引导。每场需结合佛山实际形成2份成果（每份不少于1500字），为佛山民营经济健康发展、高质量发展提供路径参考。</w:t>
            </w:r>
          </w:p>
          <w:p>
            <w:pPr>
              <w:pStyle w:val="null3"/>
              <w:ind w:firstLine="400"/>
              <w:jc w:val="both"/>
            </w:pPr>
            <w:r>
              <w:rPr/>
              <w:t>分两场：一场聚焦国家战略纵深，走进西部成都、重庆两大国家级中心城市，学习其把握宏观战略机遇、构建内陆开放高地的顶层设计与产业生态；一场对标产业转型先锋，走进长三角宁波、常州两座民营经济强市，借鉴其培育新质生产力、创新打造产业集群的先进经验。每场均为</w:t>
            </w:r>
            <w:r>
              <w:rPr/>
              <w:t>5天4晚，团组25人左右，分别邀请专家学者作为带队导师，包括专家导师团队5人、企业家和商协会代表13人，以及市和区工商联机关人员（机关人员差旅费从各自机关经费中另行列支）。</w:t>
            </w:r>
          </w:p>
          <w:p>
            <w:pPr>
              <w:pStyle w:val="null3"/>
              <w:jc w:val="both"/>
            </w:pPr>
            <w:r>
              <w:rPr/>
              <w:t>三</w:t>
            </w:r>
            <w:r>
              <w:rPr/>
              <w:t>、</w:t>
            </w:r>
            <w:r>
              <w:rPr/>
              <w:t>“草灌乔林”企业赋能活动</w:t>
            </w:r>
          </w:p>
          <w:p>
            <w:pPr>
              <w:pStyle w:val="null3"/>
              <w:ind w:firstLine="400"/>
              <w:jc w:val="both"/>
            </w:pPr>
            <w:r>
              <w:rPr/>
              <w:t>联动高校资源，围绕</w:t>
            </w:r>
            <w:r>
              <w:rPr/>
              <w:t>“政产学研金服用”，重点组织智能家居、电子信息、机器人等3个产业领域企业开展3场赋能活动，每场规模不少于100人，依托高校人才、技术、智力优势，打通“技术研发-成果转化-市场应用”全链条，助力构建“企业家+科学家+金融家”产业生态，促进创新链、资金链、人才链有机衔接，助力产业“三箭齐发”。</w:t>
            </w:r>
          </w:p>
          <w:p>
            <w:pPr>
              <w:pStyle w:val="null3"/>
              <w:ind w:firstLine="400"/>
              <w:jc w:val="both"/>
            </w:pPr>
            <w:r>
              <w:rPr/>
              <w:t>（一）智能家居产业协同创新专场。推动人工智能、物联网等技术与家居场景深度融合，围绕全屋智能、健康家电、适老化改造等方向，促进产业智能升级、市场能力提升和供应链协同。一是</w:t>
            </w:r>
            <w:r>
              <w:rPr/>
              <w:t>AI赋能设计、生产、产品、管理、营销、服务：将AI智慧内核嵌入家居单品与全屋生态，引导企业瞄准新质生产力，实现人、设备、空间互联互通，让家居从“被动使用”为“主动服务”，实现全链条智能化。二是商业模式创新与市场营销升级：顺应数字经济与智能消费新趋势，引导企业从卖产品到卖服务，打破传统营销路径依赖，融入GEO数字营销，构建线上线下融合、高效转化的全域营销体系，同时推广装配式装修。三是商会联动：组织市家居产业联合会、市智能家居产业协会、市人工智能与智能机器人产业联盟、市银发经济发展促进会、市进出口商会、市科技金融协会六大商会（主体），开展头脑风暴、资源对接、跨界协同。</w:t>
            </w:r>
          </w:p>
          <w:p>
            <w:pPr>
              <w:pStyle w:val="null3"/>
              <w:ind w:firstLine="400"/>
              <w:jc w:val="both"/>
            </w:pPr>
            <w:r>
              <w:rPr/>
              <w:t>（二）电子信息产业技术攻关专场。聚焦集成电路、新型显示、智能传感器、通信设备等细分赛道，链接高校基础研究与产业应用，促进政产学研，推动协同创新。一是趋势展望</w:t>
            </w:r>
            <w:r>
              <w:rPr/>
              <w:t>:邀请行业专家、领军企业家分析电子信息产业技术发展趋势与市场机遇（如AI芯片、汽车电子、卫星互联网等）。二是创新驱动:深化政产学研，引导企业以技术创新提升产品附加值和核心竞争力。三是产业协同:组织产业链关键环节核心企业沙龙，推动上下游携手共进、抱团发展。</w:t>
            </w:r>
          </w:p>
          <w:p>
            <w:pPr>
              <w:pStyle w:val="null3"/>
              <w:ind w:firstLine="400"/>
              <w:jc w:val="both"/>
            </w:pPr>
            <w:r>
              <w:rPr/>
              <w:t>（三）机器人产业生态共建专场。紧跟人工智能与机器人深度融合发展趋势，因地制宜发展工业机器人、服务机器人、特种机器人和具身机器人，引导企业构建</w:t>
            </w:r>
            <w:r>
              <w:rPr/>
              <w:t>B端与C端并举、传统与新兴协同的产品体系。一是人工智能强基:支持数字化转型服务商聚焦智能机器人智能系统、垂类模型、智能软件等领域，邀请行业领军科学家、数字化转型服务商代表作分享。二是金融服务:联动佛山新动能产业基金体系、金融机构、保险机构，为机器人产业做好金融服务，激发企业科技创新内生动力，支持领军企业上市融资，推动形成“科技—产业—金融”良性循环。三是人才引育:链接高校资源，深化产教融合、校企合作，帮助企业引进“制造业+数字技术”技能人才以及工业小模型、工业数据采集和标注等急需紧缺人才。</w:t>
            </w:r>
          </w:p>
          <w:p>
            <w:pPr>
              <w:pStyle w:val="null3"/>
              <w:jc w:val="both"/>
            </w:pPr>
            <w:r>
              <w:rPr/>
              <w:t>四</w:t>
            </w:r>
            <w:r>
              <w:rPr/>
              <w:t>、</w:t>
            </w:r>
            <w:r>
              <w:rPr/>
              <w:t>“佛山市企业家日”活动</w:t>
            </w:r>
          </w:p>
          <w:p>
            <w:pPr>
              <w:pStyle w:val="null3"/>
            </w:pPr>
            <w:r>
              <w:rPr>
                <w:sz w:val="21"/>
              </w:rPr>
              <w:t>按照市委市政府有关要求，会同市委组织部等部门在佛山第五个</w:t>
            </w:r>
            <w:r>
              <w:rPr>
                <w:sz w:val="21"/>
              </w:rPr>
              <w:t>“佛山</w:t>
            </w:r>
            <w:r>
              <w:rPr>
                <w:sz w:val="21"/>
              </w:rPr>
              <w:t>市</w:t>
            </w:r>
            <w:r>
              <w:rPr>
                <w:sz w:val="21"/>
              </w:rPr>
              <w:t>企业家日</w:t>
            </w:r>
            <w:r>
              <w:rPr>
                <w:sz w:val="21"/>
              </w:rPr>
              <w:t>、人才日</w:t>
            </w:r>
            <w:r>
              <w:rPr>
                <w:sz w:val="21"/>
              </w:rPr>
              <w:t>”期间</w:t>
            </w:r>
            <w:r>
              <w:rPr>
                <w:sz w:val="21"/>
              </w:rPr>
              <w:t>联合举办系列活动，以一座城市的名义向企业家和人才致以最崇高的敬意，传递出尊商重才的强烈信号。并邀请专家学者、企业家作主旨演讲，发布相关调研成果，为佛山民营企业家</w:t>
            </w:r>
            <w:r>
              <w:rPr>
                <w:sz w:val="21"/>
              </w:rPr>
              <w:t>“传经送宝”，共话佛山高质量发展</w:t>
            </w:r>
            <w:r>
              <w:rPr>
                <w:sz w:val="21"/>
              </w:rPr>
              <w:t>。</w:t>
            </w:r>
          </w:p>
        </w:tc>
      </w:tr>
      <w:tr>
        <w:tc>
          <w:tcPr>
            <w:tcW w:type="dxa" w:w="2076"/>
          </w:tcPr>
          <w:p/>
        </w:tc>
        <w:tc>
          <w:tcPr>
            <w:tcW w:type="dxa" w:w="415"/>
          </w:tcPr>
          <w:p>
            <w:pPr>
              <w:pStyle w:val="null3"/>
            </w:pPr>
            <w:r>
              <w:rPr/>
              <w:t>3</w:t>
            </w:r>
          </w:p>
        </w:tc>
        <w:tc>
          <w:tcPr>
            <w:tcW w:type="dxa" w:w="5814"/>
          </w:tcPr>
          <w:p>
            <w:pPr>
              <w:pStyle w:val="null3"/>
              <w:ind w:firstLine="422"/>
            </w:pPr>
            <w:r>
              <w:rPr>
                <w:sz w:val="21"/>
                <w:b/>
                <w:color w:val="000000"/>
              </w:rPr>
              <w:t>人员配置要求：</w:t>
            </w:r>
          </w:p>
          <w:p>
            <w:pPr>
              <w:pStyle w:val="null3"/>
              <w:ind w:firstLine="444"/>
              <w:jc w:val="both"/>
            </w:pPr>
            <w:r>
              <w:rPr>
                <w:sz w:val="21"/>
                <w:color w:val="000000"/>
              </w:rPr>
              <w:t>1.成交供应商应具有专业的团队人员，提供的团队人员具有同类项目经验，并认真完成项目服务内容任务。</w:t>
            </w:r>
          </w:p>
          <w:p>
            <w:pPr>
              <w:pStyle w:val="null3"/>
              <w:ind w:firstLine="444"/>
              <w:jc w:val="both"/>
            </w:pPr>
            <w:r>
              <w:rPr>
                <w:sz w:val="21"/>
                <w:color w:val="000000"/>
              </w:rPr>
              <w:t>2.在项目服务过程中，成交供应商应积极与采购人进行沟通反馈，提出专业性建议供采购人参考，制定专项服务保障方案，并实时根据采购人的要求跟进完成相关工作。</w:t>
            </w:r>
          </w:p>
          <w:p>
            <w:pPr>
              <w:pStyle w:val="null3"/>
              <w:ind w:firstLine="420"/>
              <w:jc w:val="left"/>
            </w:pPr>
            <w:r>
              <w:rPr>
                <w:sz w:val="21"/>
                <w:color w:val="000000"/>
              </w:rPr>
              <w:t>3.成交供应商须按其响应文件中承诺提供的项目团队人员必须按要求投入到本项目中，在合同期内不得擅自更换。成交供应商如因工作安排或其它原因，需要更换项目团队人员时，应事前向采购人提出书面申请，未经采购人同意，不得更换人员。</w:t>
            </w:r>
          </w:p>
          <w:p>
            <w:pPr>
              <w:pStyle w:val="null3"/>
              <w:ind w:firstLine="420"/>
              <w:jc w:val="left"/>
            </w:pPr>
            <w:r>
              <w:rPr>
                <w:sz w:val="21"/>
                <w:color w:val="000000"/>
              </w:rPr>
              <w:t>4.采购人有权以书面形式要求成交供应商更换不能按规定履行合同的人员。即使是采购人要求或同意更换的人员，其代替人员的资质仍应得到采购人的认可，且其资历和经验均不低于被更换人员。由此而产生的费用由成交供应商承担。</w:t>
            </w:r>
          </w:p>
          <w:p>
            <w:pPr>
              <w:pStyle w:val="null3"/>
              <w:ind w:firstLine="420"/>
              <w:jc w:val="both"/>
            </w:pPr>
            <w:r>
              <w:rPr>
                <w:sz w:val="21"/>
                <w:color w:val="000000"/>
              </w:rPr>
              <w:t>5.如成交供应商未经采购人书面同意擅自更换项目团队人员，采购人有权扣除成交供应商一定的违约金</w:t>
            </w:r>
            <w:r>
              <w:rPr>
                <w:sz w:val="21"/>
                <w:color w:val="000000"/>
              </w:rPr>
              <w:t>，</w:t>
            </w:r>
            <w:r>
              <w:rPr>
                <w:sz w:val="21"/>
                <w:color w:val="000000"/>
              </w:rPr>
              <w:t>如</w:t>
            </w:r>
            <w:r>
              <w:rPr>
                <w:sz w:val="21"/>
                <w:color w:val="000000"/>
              </w:rPr>
              <w:t>成交供应商</w:t>
            </w:r>
            <w:r>
              <w:rPr>
                <w:sz w:val="21"/>
                <w:color w:val="000000"/>
              </w:rPr>
              <w:t>未经</w:t>
            </w:r>
            <w:r>
              <w:rPr>
                <w:sz w:val="21"/>
                <w:color w:val="000000"/>
              </w:rPr>
              <w:t>采购人</w:t>
            </w:r>
            <w:r>
              <w:rPr>
                <w:sz w:val="21"/>
                <w:color w:val="000000"/>
              </w:rPr>
              <w:t>书面同意擅自更换项目团队人员，每发生一次，</w:t>
            </w:r>
            <w:r>
              <w:rPr>
                <w:sz w:val="21"/>
                <w:color w:val="000000"/>
              </w:rPr>
              <w:t>采购人</w:t>
            </w:r>
            <w:r>
              <w:rPr>
                <w:sz w:val="21"/>
                <w:color w:val="000000"/>
              </w:rPr>
              <w:t>有权扣除合同总金额</w:t>
            </w:r>
            <w:r>
              <w:rPr>
                <w:sz w:val="21"/>
                <w:color w:val="000000"/>
              </w:rPr>
              <w:t>3%的违约金</w:t>
            </w:r>
            <w:r>
              <w:rPr>
                <w:sz w:val="21"/>
                <w:color w:val="000000"/>
              </w:rPr>
              <w:t>。发生本条上述情况累计达</w:t>
            </w:r>
            <w:r>
              <w:rPr>
                <w:sz w:val="21"/>
                <w:color w:val="000000"/>
              </w:rPr>
              <w:t>4次后，采购人有权终止合同，由此引致的经济损失，成交供应商须全额赔偿，采购人保留追究成交供应商相关责任的权利。</w:t>
            </w:r>
          </w:p>
          <w:p>
            <w:pPr>
              <w:pStyle w:val="null3"/>
            </w:pPr>
            <w:r>
              <w:rPr>
                <w:sz w:val="21"/>
                <w:color w:val="000000"/>
              </w:rPr>
              <w:t xml:space="preserve">     </w:t>
            </w:r>
            <w:r>
              <w:rPr>
                <w:sz w:val="21"/>
                <w:color w:val="000000"/>
              </w:rPr>
              <w:t>6.对于成交供应商因工作原因为采购人服务期间引起的各种工伤、安全事件和事故，采购人免负一切责任（提供《承诺函》，格式自拟）。</w:t>
            </w:r>
          </w:p>
        </w:tc>
      </w:tr>
      <w:tr>
        <w:tc>
          <w:tcPr>
            <w:tcW w:type="dxa" w:w="2076"/>
          </w:tcPr>
          <w:p/>
        </w:tc>
        <w:tc>
          <w:tcPr>
            <w:tcW w:type="dxa" w:w="415"/>
          </w:tcPr>
          <w:p>
            <w:pPr>
              <w:pStyle w:val="null3"/>
            </w:pPr>
            <w:r>
              <w:rPr/>
              <w:t>4</w:t>
            </w:r>
          </w:p>
        </w:tc>
        <w:tc>
          <w:tcPr>
            <w:tcW w:type="dxa" w:w="5814"/>
          </w:tcPr>
          <w:p>
            <w:pPr>
              <w:pStyle w:val="null3"/>
              <w:jc w:val="both"/>
            </w:pPr>
            <w:r>
              <w:rPr>
                <w:sz w:val="21"/>
                <w:b/>
                <w:color w:val="000000"/>
              </w:rPr>
              <w:t>活动组织要求：</w:t>
            </w:r>
          </w:p>
          <w:p>
            <w:pPr>
              <w:pStyle w:val="null3"/>
              <w:ind w:firstLine="444"/>
              <w:jc w:val="both"/>
            </w:pPr>
            <w:r>
              <w:rPr>
                <w:sz w:val="21"/>
                <w:color w:val="000000"/>
              </w:rPr>
              <w:t>1.成交供应商须为本项目的提供包括提供各阶段所需活动场所和设备设施、物料制作、布置搭建、现场引导、人力资源保障等，拟提供的活动场所需符合采购人的要求和项目特点，并经采购人同意。</w:t>
            </w:r>
          </w:p>
          <w:p>
            <w:pPr>
              <w:pStyle w:val="null3"/>
            </w:pPr>
            <w:r>
              <w:rPr>
                <w:sz w:val="21"/>
                <w:color w:val="000000"/>
              </w:rPr>
              <w:t xml:space="preserve">     </w:t>
            </w:r>
            <w:r>
              <w:rPr>
                <w:sz w:val="21"/>
                <w:color w:val="000000"/>
              </w:rPr>
              <w:t>2.负责活动期间食宿交通保障服务，确保各项活动顺利进行。</w:t>
            </w:r>
          </w:p>
        </w:tc>
      </w:tr>
      <w:tr>
        <w:tc>
          <w:tcPr>
            <w:tcW w:type="dxa" w:w="2076"/>
          </w:tcPr>
          <w:p/>
        </w:tc>
        <w:tc>
          <w:tcPr>
            <w:tcW w:type="dxa" w:w="415"/>
          </w:tcPr>
          <w:p>
            <w:pPr>
              <w:pStyle w:val="null3"/>
            </w:pPr>
            <w:r>
              <w:rPr/>
              <w:t>5</w:t>
            </w:r>
          </w:p>
        </w:tc>
        <w:tc>
          <w:tcPr>
            <w:tcW w:type="dxa" w:w="5814"/>
          </w:tcPr>
          <w:p>
            <w:pPr>
              <w:pStyle w:val="null3"/>
              <w:jc w:val="left"/>
            </w:pPr>
            <w:r>
              <w:rPr>
                <w:sz w:val="21"/>
                <w:b/>
                <w:color w:val="000000"/>
              </w:rPr>
              <w:t>服务响应要求：</w:t>
            </w:r>
          </w:p>
          <w:p>
            <w:pPr>
              <w:pStyle w:val="null3"/>
              <w:ind w:firstLine="420"/>
              <w:jc w:val="left"/>
            </w:pPr>
            <w:r>
              <w:rPr>
                <w:sz w:val="21"/>
                <w:color w:val="000000"/>
              </w:rPr>
              <w:t>1.服务期内，成交供应商须提供常设每周7天×24小时服务专线技术支持。</w:t>
            </w:r>
          </w:p>
          <w:p>
            <w:pPr>
              <w:pStyle w:val="null3"/>
            </w:pPr>
            <w:r>
              <w:rPr>
                <w:sz w:val="21"/>
                <w:color w:val="000000"/>
              </w:rPr>
              <w:t xml:space="preserve">    </w:t>
            </w:r>
            <w:r>
              <w:rPr>
                <w:sz w:val="21"/>
                <w:color w:val="000000"/>
              </w:rPr>
              <w:t>2.对采购人的服务通知，成交供应商必须在接报后1小时内响应，4小时内到达现场，24小时内处理完毕。</w:t>
            </w:r>
          </w:p>
        </w:tc>
      </w:tr>
      <w:tr>
        <w:tc>
          <w:tcPr>
            <w:tcW w:type="dxa" w:w="2076"/>
          </w:tcPr>
          <w:p>
            <w:pPr>
              <w:pStyle w:val="null3"/>
            </w:pPr>
            <w:r>
              <w:rPr/>
              <w:t>★</w:t>
            </w:r>
          </w:p>
        </w:tc>
        <w:tc>
          <w:tcPr>
            <w:tcW w:type="dxa" w:w="415"/>
          </w:tcPr>
          <w:p>
            <w:pPr>
              <w:pStyle w:val="null3"/>
            </w:pPr>
            <w:r>
              <w:rPr/>
              <w:t>6</w:t>
            </w:r>
          </w:p>
        </w:tc>
        <w:tc>
          <w:tcPr>
            <w:tcW w:type="dxa" w:w="5814"/>
          </w:tcPr>
          <w:p>
            <w:pPr>
              <w:pStyle w:val="null3"/>
              <w:jc w:val="both"/>
            </w:pPr>
            <w:r>
              <w:rPr>
                <w:sz w:val="21"/>
                <w:color w:val="000000"/>
              </w:rPr>
              <w:t>报价要求:</w:t>
            </w:r>
          </w:p>
          <w:p>
            <w:pPr>
              <w:pStyle w:val="null3"/>
              <w:ind w:firstLine="420"/>
              <w:jc w:val="both"/>
            </w:pPr>
            <w:r>
              <w:rPr>
                <w:sz w:val="21"/>
                <w:color w:val="000000"/>
              </w:rPr>
              <w:t>报价方式为总价包干，包括但不限于以下全部费用：活动策划执行费用、交通费、住宿费、设计费用、制作费用、资源对接费用、活动组织费用及其他配套费用、各种税费、利润、不可预见费等完成本项目所需的一切费用。如出现任何遗漏内容需产生额外费用，均由成交供应商自行承担，采购人将不再另支付任何费用。</w:t>
            </w:r>
          </w:p>
          <w:p>
            <w:pPr>
              <w:pStyle w:val="null3"/>
              <w:jc w:val="both"/>
            </w:pPr>
            <w:r>
              <w:rPr>
                <w:sz w:val="21"/>
                <w:color w:val="000000"/>
              </w:rPr>
              <w:t>2.响应供应商须对以下服务内容进行分项报价，且不得超过各分项最高限价，否则视为无效投标。</w:t>
            </w:r>
          </w:p>
          <w:tbl>
            <w:tblPr>
              <w:tblInd w:type="dxa" w:w="120"/>
              <w:tblBorders>
                <w:top w:val="none" w:color="000000" w:sz="4"/>
                <w:left w:val="none" w:color="000000" w:sz="4"/>
                <w:bottom w:val="none" w:color="000000" w:sz="4"/>
                <w:right w:val="none" w:color="000000" w:sz="4"/>
                <w:insideH w:val="none"/>
                <w:insideV w:val="none"/>
              </w:tblBorders>
            </w:tblPr>
            <w:tblGrid>
              <w:gridCol w:w="420"/>
              <w:gridCol w:w="1665"/>
              <w:gridCol w:w="1890"/>
              <w:gridCol w:w="1545"/>
              <w:gridCol w:w="0"/>
            </w:tblGrid>
            <w:tr>
              <w:tc>
                <w:tcPr>
                  <w:tcW w:type="dxa" w:w="4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16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子项目</w:t>
                  </w:r>
                </w:p>
              </w:tc>
              <w:tc>
                <w:tcPr>
                  <w:tcW w:type="dxa" w:w="189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服务内容</w:t>
                  </w:r>
                </w:p>
              </w:tc>
              <w:tc>
                <w:tcPr>
                  <w:tcW w:type="dxa" w:w="15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最高限价</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6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综合智库建设及相关成果发布</w:t>
                  </w:r>
                </w:p>
              </w:tc>
              <w:tc>
                <w:tcPr>
                  <w:tcW w:type="dxa" w:w="18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两大专题调研、</w:t>
                  </w:r>
                </w:p>
                <w:p>
                  <w:pPr>
                    <w:pStyle w:val="null3"/>
                    <w:jc w:val="center"/>
                  </w:pPr>
                  <w:r>
                    <w:rPr>
                      <w:sz w:val="21"/>
                      <w:color w:val="000000"/>
                    </w:rPr>
                    <w:t>两个</w:t>
                  </w:r>
                  <w:r>
                    <w:rPr>
                      <w:sz w:val="21"/>
                      <w:color w:val="000000"/>
                    </w:rPr>
                    <w:t>专题片（</w:t>
                  </w:r>
                  <w:r>
                    <w:rPr>
                      <w:sz w:val="21"/>
                      <w:color w:val="000000"/>
                    </w:rPr>
                    <w:t>共</w:t>
                  </w:r>
                  <w:r>
                    <w:rPr>
                      <w:sz w:val="21"/>
                      <w:color w:val="000000"/>
                    </w:rPr>
                    <w:t>8</w:t>
                  </w:r>
                  <w:r>
                    <w:rPr>
                      <w:sz w:val="21"/>
                      <w:color w:val="000000"/>
                    </w:rPr>
                    <w:t>分钟左右）、成果汇编（制作</w:t>
                  </w:r>
                  <w:r>
                    <w:rPr>
                      <w:sz w:val="21"/>
                      <w:color w:val="000000"/>
                    </w:rPr>
                    <w:t>2</w:t>
                  </w:r>
                  <w:r>
                    <w:rPr>
                      <w:sz w:val="21"/>
                      <w:color w:val="000000"/>
                    </w:rPr>
                    <w:t>000本）</w:t>
                  </w:r>
                </w:p>
              </w:tc>
              <w:tc>
                <w:tcPr>
                  <w:tcW w:type="dxa" w:w="15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r>
                    <w:rPr>
                      <w:sz w:val="21"/>
                      <w:color w:val="000000"/>
                    </w:rPr>
                    <w:t>0万元</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6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跨城对标调研学习活动</w:t>
                  </w:r>
                </w:p>
              </w:tc>
              <w:tc>
                <w:tcPr>
                  <w:tcW w:type="dxa" w:w="18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跨城对标调研学习活动（含成果）</w:t>
                  </w:r>
                </w:p>
              </w:tc>
              <w:tc>
                <w:tcPr>
                  <w:tcW w:type="dxa" w:w="15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w:t>
                  </w:r>
                  <w:r>
                    <w:rPr>
                      <w:sz w:val="21"/>
                    </w:rPr>
                    <w:t>万元</w:t>
                  </w:r>
                  <w:r>
                    <w:rPr>
                      <w:sz w:val="21"/>
                    </w:rPr>
                    <w:t>（注：此项不含市和区工商联机关人员的公务机票、高铁、住宿费用，从各自机关经费中另行列支）</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6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“草灌乔林”企业赋能活动</w:t>
                  </w:r>
                </w:p>
              </w:tc>
              <w:tc>
                <w:tcPr>
                  <w:tcW w:type="dxa" w:w="18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“草灌乔林”企业赋能活动</w:t>
                  </w:r>
                </w:p>
              </w:tc>
              <w:tc>
                <w:tcPr>
                  <w:tcW w:type="dxa" w:w="15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5万元</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16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“佛山市企业家日”活动</w:t>
                  </w:r>
                </w:p>
              </w:tc>
              <w:tc>
                <w:tcPr>
                  <w:tcW w:type="dxa" w:w="18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“佛山市企业家日”活动</w:t>
                  </w:r>
                </w:p>
              </w:tc>
              <w:tc>
                <w:tcPr>
                  <w:tcW w:type="dxa" w:w="15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25万元</w:t>
                  </w:r>
                </w:p>
              </w:tc>
              <w:tc>
                <w:tcPr>
                  <w:tcW w:type="dxa" w:w="0"/>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208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合计</w:t>
                  </w:r>
                </w:p>
              </w:tc>
              <w:tc>
                <w:tcPr>
                  <w:tcW w:type="dxa" w:w="3435"/>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100万元</w:t>
                  </w:r>
                </w:p>
              </w:tc>
            </w:tr>
          </w:tbl>
          <w:p>
            <w:pPr>
              <w:pStyle w:val="null3"/>
            </w:pPr>
            <w:r>
              <w:rPr>
                <w:sz w:val="21"/>
                <w:color w:val="000000"/>
              </w:rPr>
              <w:t>3.本项目总报价仅作为评审使用，实际以各子项目成交金额结算费用。</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1.采购代理机构：本项目是指佛山市粤创招标代理有限公司，负责整个采购活动的组织，依法负责编制和发布磋商文件，对磋商文件拥有最终的解释权，不以任何身份出任磋商小组成员。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佛山市工商业联合会</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响应保函提交方式：供应商可通过"广东政府采购智慧云平台金融服务中心"(https://gdgpo.czt.gd.gov.cn/zcdservice/zcd/guangdong/)，申请办理响应担保函、保险（保证）凭证，成功出函的等效于现金缴纳响应保证金。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以成交通知书中的成交金额作为招标代理服务费的计算基数，招标代理服务费收费采用差额定率累进法计算方式。参照中华人民共和国国家发展计划委员会颁发的计价格[2002]1980号、国家发改委[2003]857号及发改价格[2011]534号文规定的“服务类”计算。</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佛山市粤创招标代理有限公司</w:t>
      </w:r>
      <w:r>
        <w:rPr/>
        <w:t>代收。具体操作要求详见</w:t>
      </w:r>
      <w:r>
        <w:rPr/>
        <w:t>佛山市粤创招标代理有限公司</w:t>
      </w:r>
      <w:r>
        <w:rPr/>
        <w:t>有关指引，递交事宜请自行咨询</w:t>
      </w:r>
      <w:r>
        <w:rPr/>
        <w:t>佛山市粤创招标代理有限公司</w:t>
      </w:r>
      <w:r>
        <w:rPr/>
        <w:t>；请各供应商在响应文件递交截止时间前按须知前附表规定的金额递交至</w:t>
      </w:r>
      <w:r>
        <w:rPr/>
        <w:t>佛山市粤创招标代理有限公司</w:t>
      </w:r>
      <w:r>
        <w:rPr/>
        <w:t>，到账情况以开启时</w:t>
      </w:r>
      <w:r>
        <w:rPr/>
        <w:t>佛山市粤创招标代理有限公司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w:t>
      </w:r>
      <w:r>
        <w:rPr/>
        <w:t>广东省公共资源交易平台（https://ygp.gdzwfw.gov.cn/ggzy-portal/#/440600/jygg）以及佛山市粤创招标代理有限公司网站（http://www.fsyczb.com/）</w:t>
      </w:r>
      <w:r>
        <w:rPr/>
        <w:t>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w:t>
      </w:r>
      <w:r>
        <w:rPr/>
        <w:t>广东省公共资源交易平台（https://ygp.gdzwfw.gov.cn/ggzy-portal/#/440600/jygg）以及佛山市粤创招标代理有限公司网站（http://www.fsyczb.com/）</w:t>
      </w:r>
      <w:r>
        <w:rPr/>
        <w:t>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黄小姐</w:t>
      </w:r>
    </w:p>
    <w:p>
      <w:pPr>
        <w:pStyle w:val="null3"/>
        <w:ind w:firstLine="480"/>
      </w:pPr>
      <w:r>
        <w:rPr/>
        <w:t>电话：</w:t>
      </w:r>
      <w:r>
        <w:rPr/>
        <w:t>0757-86260021</w:t>
      </w:r>
    </w:p>
    <w:p>
      <w:pPr>
        <w:pStyle w:val="null3"/>
        <w:ind w:firstLine="480"/>
      </w:pPr>
      <w:r>
        <w:rPr/>
        <w:t>传真：</w:t>
      </w:r>
      <w:r>
        <w:rPr/>
        <w:t>0757-86260021</w:t>
      </w:r>
    </w:p>
    <w:p>
      <w:pPr>
        <w:pStyle w:val="null3"/>
        <w:ind w:firstLine="480"/>
      </w:pPr>
      <w:r>
        <w:rPr/>
        <w:t>邮箱：</w:t>
      </w:r>
      <w:r>
        <w:rPr/>
        <w:t>FSSYCZB@126.com</w:t>
      </w:r>
    </w:p>
    <w:p>
      <w:pPr>
        <w:pStyle w:val="null3"/>
        <w:ind w:firstLine="480"/>
      </w:pPr>
      <w:r>
        <w:rPr/>
        <w:t>地址：</w:t>
      </w:r>
      <w:r>
        <w:rPr/>
        <w:t>佛山市南海区桂城街道夏南路58号方舟建筑产业中心2座3栋1321室</w:t>
      </w:r>
    </w:p>
    <w:p>
      <w:pPr>
        <w:pStyle w:val="null3"/>
        <w:ind w:firstLine="480"/>
      </w:pPr>
      <w:r>
        <w:rPr/>
        <w:t>邮编：</w:t>
      </w:r>
      <w:r>
        <w:rPr/>
        <w:t>528000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政府采购监督管理机构名称：佛山市财政局(政府采购监管科)</w:t>
      </w:r>
    </w:p>
    <w:p>
      <w:pPr>
        <w:pStyle w:val="null3"/>
      </w:pPr>
      <w:r>
        <w:rPr/>
        <w:t>地 址：佛山市禅城区季华五路8号财政大厦8楼</w:t>
      </w:r>
    </w:p>
    <w:p>
      <w:pPr>
        <w:pStyle w:val="null3"/>
      </w:pPr>
      <w:r>
        <w:rPr/>
        <w:t>电 话：0757-83282245</w:t>
      </w:r>
    </w:p>
    <w:p>
      <w:pPr>
        <w:pStyle w:val="null3"/>
      </w:pPr>
      <w:r>
        <w:rPr/>
        <w:t>邮 编：528000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采购包1(2026年“领航佛商”系列活动)：综合评分法,是指响应文件满足磋商文件全部实质性要求，且按照评审因素的量化指标评审得分最高的投标人为成交候选人的评标方法。（最低报价不是成交的唯一依据。）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佛山市粤创招标代理有限公司</w:t>
      </w:r>
      <w:r>
        <w:rPr/>
        <w:t>统一对外发布。</w:t>
      </w:r>
    </w:p>
    <w:p>
      <w:pPr>
        <w:pStyle w:val="null3"/>
        <w:ind w:firstLine="480"/>
      </w:pPr>
      <w:r>
        <w:rPr/>
        <w:t>（2）对</w:t>
      </w:r>
      <w:r>
        <w:rPr/>
        <w:t>佛山市粤创招标代理有限公司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采购包1（2026年“领航佛商”系列活动）：</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采购包1（2026年“领航佛商”系列活动）：</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有效的营业执照（或事业单位法人证书，或社会团体法人登记证书，或其他具有独立承担民事责任的能力的有效证照）扫描件，如供应商为自然人的需提供自然人身份证明扫描件。</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须提供下列任一项证明材料：①2025年9月（含本月）至响应截止时间止任意一个月依法缴纳税收和社会保障资金的相关材料。如依法免税或不需要缴纳社会保障资金的，提供相应证明材料；②提供《政府采购供应商资格信用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须提供下列任一项证明材料：①2024年度的财务报告或2025年9月（含本月）至响应截止时间止任意一个月的财务报表（资产负债表、利润表和现金流量表）扫描件；②基本开户银行出具2025年9月（含本月）至响应截止时间止任意一个月的资信证明，如资信证明不能体现基本开户账户的，应另附开户许可证。无开户许可证的，可提供由银行开具的《基本存款账户信息》（公户账户主档）或其他相关证明资料，以上文件均需加盖银行印章；③提供《政府采购供应商资格信用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提供履行合同所必需的设备和专业技术能力的书面声明。</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政府采购供应商资格信用承诺函》。重大违法记录，是指供应商因违法经营受到刑事处罚或者责令停产停业、吊销许可证或者执照、较大数额罚款等行政处罚。（对于“较大数额罚款”，根据《财政部关于&lt;中华人民共和国政府采购法实施条例&gt;第十九条第一款“较大数额罚款”具体适用问题的意见》（财库〔2022〕3号），明确《中华人民共和国政府采购法实施条例》第十九条第一款规定的“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单位负责人为同一人或者存在直接控股、管理关系的不同供应商，不得同时参加本采购项目响应。为本项目提供整体设计、规范编制或者项目管理、监理、检测等服务的供应商，不得再参与本项目响应。</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①本项目属于专门面向中小企业采购的项目；②本项目采购标的对应的中小企业划分标准所属行业：其他未列明行业。</w:t>
            </w:r>
          </w:p>
        </w:tc>
      </w:tr>
    </w:tbl>
    <w:p>
      <w:pPr>
        <w:pStyle w:val="null3"/>
        <w:ind w:firstLine="480"/>
      </w:pPr>
      <w:r>
        <w:rPr/>
        <w:t>表二符合性审查表：</w:t>
      </w:r>
    </w:p>
    <w:p>
      <w:pPr>
        <w:pStyle w:val="null3"/>
      </w:pPr>
      <w:r>
        <w:rPr/>
        <w:t>采购包1（2026年“领航佛商”系列活动）：</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响应文件有效性</w:t>
            </w:r>
          </w:p>
        </w:tc>
        <w:tc>
          <w:tcPr>
            <w:tcW w:type="dxa" w:w="4238"/>
          </w:tcPr>
          <w:p>
            <w:pPr>
              <w:pStyle w:val="null3"/>
            </w:pPr>
            <w:r>
              <w:rPr/>
              <w:t>按照磋商文件规定要求签署、盖章且响应文件有法定代表人签字或盖章，或签字人有法定代表人有效授权书的。</w:t>
            </w:r>
          </w:p>
        </w:tc>
      </w:tr>
      <w:tr>
        <w:tc>
          <w:tcPr>
            <w:tcW w:type="dxa" w:w="890"/>
          </w:tcPr>
          <w:p>
            <w:pPr>
              <w:pStyle w:val="null3"/>
            </w:pPr>
            <w:r>
              <w:rPr/>
              <w:t>2</w:t>
            </w:r>
          </w:p>
        </w:tc>
        <w:tc>
          <w:tcPr>
            <w:tcW w:type="dxa" w:w="3178"/>
          </w:tcPr>
          <w:p>
            <w:pPr>
              <w:pStyle w:val="null3"/>
            </w:pPr>
            <w:r>
              <w:rPr/>
              <w:t>响应承诺函</w:t>
            </w:r>
          </w:p>
        </w:tc>
        <w:tc>
          <w:tcPr>
            <w:tcW w:type="dxa" w:w="4238"/>
          </w:tcPr>
          <w:p>
            <w:pPr>
              <w:pStyle w:val="null3"/>
            </w:pPr>
            <w:r>
              <w:rPr/>
              <w:t>响应承诺函已提交并符合磋商文件要求的。</w:t>
            </w:r>
          </w:p>
        </w:tc>
      </w:tr>
      <w:tr>
        <w:tc>
          <w:tcPr>
            <w:tcW w:type="dxa" w:w="890"/>
          </w:tcPr>
          <w:p>
            <w:pPr>
              <w:pStyle w:val="null3"/>
            </w:pPr>
            <w:r>
              <w:rPr/>
              <w:t>3</w:t>
            </w:r>
          </w:p>
        </w:tc>
        <w:tc>
          <w:tcPr>
            <w:tcW w:type="dxa" w:w="3178"/>
          </w:tcPr>
          <w:p>
            <w:pPr>
              <w:pStyle w:val="null3"/>
            </w:pPr>
            <w:r>
              <w:rPr/>
              <w:t>报价是否为固定价且是唯一的，是否超过最高限价</w:t>
            </w:r>
          </w:p>
        </w:tc>
        <w:tc>
          <w:tcPr>
            <w:tcW w:type="dxa" w:w="4238"/>
          </w:tcPr>
          <w:p>
            <w:pPr>
              <w:pStyle w:val="null3"/>
            </w:pPr>
            <w:r>
              <w:rPr/>
              <w:t>报价是固定价且是唯一的，最终报价未超过最高限价。</w:t>
            </w:r>
          </w:p>
        </w:tc>
      </w:tr>
      <w:tr>
        <w:tc>
          <w:tcPr>
            <w:tcW w:type="dxa" w:w="890"/>
          </w:tcPr>
          <w:p>
            <w:pPr>
              <w:pStyle w:val="null3"/>
            </w:pPr>
            <w:r>
              <w:rPr/>
              <w:t>4</w:t>
            </w:r>
          </w:p>
        </w:tc>
        <w:tc>
          <w:tcPr>
            <w:tcW w:type="dxa" w:w="3178"/>
          </w:tcPr>
          <w:p>
            <w:pPr>
              <w:pStyle w:val="null3"/>
            </w:pPr>
            <w:r>
              <w:rPr/>
              <w:t>响应文件未含有采购人不能接受的附加条件的</w:t>
            </w:r>
          </w:p>
        </w:tc>
        <w:tc>
          <w:tcPr>
            <w:tcW w:type="dxa" w:w="4238"/>
          </w:tcPr>
          <w:p>
            <w:pPr>
              <w:pStyle w:val="null3"/>
            </w:pPr>
            <w:r>
              <w:rPr/>
              <w:t>响应文件未含有采购人不能接受的附加条件的。</w:t>
            </w:r>
          </w:p>
        </w:tc>
      </w:tr>
      <w:tr>
        <w:tc>
          <w:tcPr>
            <w:tcW w:type="dxa" w:w="890"/>
          </w:tcPr>
          <w:p>
            <w:pPr>
              <w:pStyle w:val="null3"/>
            </w:pPr>
            <w:r>
              <w:rPr/>
              <w:t>5</w:t>
            </w:r>
          </w:p>
        </w:tc>
        <w:tc>
          <w:tcPr>
            <w:tcW w:type="dxa" w:w="3178"/>
          </w:tcPr>
          <w:p>
            <w:pPr>
              <w:pStyle w:val="null3"/>
            </w:pPr>
            <w:r>
              <w:rPr/>
              <w:t>★号条款响应</w:t>
            </w:r>
          </w:p>
        </w:tc>
        <w:tc>
          <w:tcPr>
            <w:tcW w:type="dxa" w:w="4238"/>
          </w:tcPr>
          <w:p>
            <w:pPr>
              <w:pStyle w:val="null3"/>
            </w:pPr>
            <w:r>
              <w:rPr/>
              <w:t>响应文件完全满足招标文件的实质性条款（即标注★号条款）无负偏离的。</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没有违反有关法律、法规、规章要求，被视为磋商无效的其他情况。</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采购包1(2026年“领航佛商”系列活动):</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技术部分55.0分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总体服务方案 (5.0分)</w:t>
            </w:r>
          </w:p>
        </w:tc>
        <w:tc>
          <w:tcPr>
            <w:tcW w:type="dxa" w:w="5076"/>
          </w:tcPr>
          <w:p>
            <w:pPr>
              <w:pStyle w:val="null3"/>
              <w:jc w:val="left"/>
            </w:pPr>
            <w:r>
              <w:rPr/>
              <w:t>根据响应供应商针对本项目提出的总体服务方案进行评审，方案包括但不限于总体服务安排、项目难点重点分析、人员配置情况和安排、服务承诺、建议等： 1.方案包含以上全部内容，且提出的总体服务安排有针对性，人员配置精准贴合项目实际需求，服务承诺完全满足采购需求，对本项目实施的难点和重点分析详细、针对性强，所提出的建议合理且具有高度的可操作性和实施价值，得5分； 2.方案包含以上全部内容，且提出的总体服务安排部分合理，人员配置与项目实际情况基本契合，服务承诺基本满足采购需求，对本项目实施的难点和重点分析基本合理，所提出的建议具有操作性，得3分； 3.方案内容缺失或提出的总体服务安排存在不合理之处，人员配置与项目实际情况存在偏差，服务承诺差，对本项目实施的难点和重点分析模糊不清，提出的建议部分可操作，得1分； 4.不提供不得分。</w:t>
            </w:r>
          </w:p>
        </w:tc>
      </w:tr>
      <w:tr>
        <w:tc>
          <w:tcPr>
            <w:tcW w:type="dxa" w:w="922"/>
            <w:gridSpan w:val="2"/>
            <w:vMerge/>
          </w:tcPr>
          <w:p/>
        </w:tc>
        <w:tc>
          <w:tcPr>
            <w:tcW w:type="dxa" w:w="2307"/>
          </w:tcPr>
          <w:p>
            <w:pPr>
              <w:pStyle w:val="null3"/>
              <w:jc w:val="left"/>
            </w:pPr>
            <w:r>
              <w:rPr/>
              <w:t>跨城对标调研学习活动 (10.0分)</w:t>
            </w:r>
          </w:p>
        </w:tc>
        <w:tc>
          <w:tcPr>
            <w:tcW w:type="dxa" w:w="5076"/>
          </w:tcPr>
          <w:p>
            <w:pPr>
              <w:pStyle w:val="null3"/>
              <w:jc w:val="left"/>
            </w:pPr>
            <w:r>
              <w:rPr/>
              <w:t>根据响应供应商提供的跨城对标调研学习活动方案进行评审，方案包括但不限于具体2场的跨城调研行程安排、调研企业和全国“四好商会”介绍、复盘活动、资源对接渠道、服务保障措施、对标效果意义等： 1. 方案包含以上全部内容，且方案内容全面清晰，复盘活动安排合理科学，具有丰富的资源对接渠道，服务保障措施完善且落地性强，完全满足采购需求的，得10分； 2. 方案包含以上全部内容，且方案内容基本全面清晰，复盘活动安排基本合理科学，具有丰富的资源对接渠道，服务保障措施基本完善且落地性尚可，基本满足采购需求的，得6分； 3. 方案内容缺失或方案内容简单，复盘活动安排不合理科学，服务措施不足且落地性差，仅部分内容满足采购需求的，得2分。 4. 不提供不得分。</w:t>
            </w:r>
          </w:p>
        </w:tc>
      </w:tr>
      <w:tr>
        <w:tc>
          <w:tcPr>
            <w:tcW w:type="dxa" w:w="922"/>
            <w:gridSpan w:val="2"/>
            <w:vMerge/>
          </w:tcPr>
          <w:p/>
        </w:tc>
        <w:tc>
          <w:tcPr>
            <w:tcW w:type="dxa" w:w="2307"/>
          </w:tcPr>
          <w:p>
            <w:pPr>
              <w:pStyle w:val="null3"/>
              <w:jc w:val="left"/>
            </w:pPr>
            <w:r>
              <w:rPr/>
              <w:t>“草灌乔林”企业赋能活动 (10.0分)</w:t>
            </w:r>
          </w:p>
        </w:tc>
        <w:tc>
          <w:tcPr>
            <w:tcW w:type="dxa" w:w="5076"/>
          </w:tcPr>
          <w:p>
            <w:pPr>
              <w:pStyle w:val="null3"/>
              <w:jc w:val="left"/>
            </w:pPr>
            <w:r>
              <w:rPr/>
              <w:t>根据响应供应商提供的3场赋能活动方案进行评审，方案包括但不限于资源链接、场地选择、活动配套保障、应急预案等： 1. 方案包含以上全部内容，且方案完整，资源链接丰富，场地选择满足采购需求，活动执行措施和应急预案全面、可操作性强的，得10分； 2. 方案包含以上全部内容，且方案基本完整，资源链接一般丰富，场地选择基本能满足采购需求，活动执行措施和应急预案尚可、具有可操作性的，得6分； 3. 方案内容缺失或方案不全面，资源链接、场地选择差，活动执行措施和应急预案不够全面、存在不可操作性的，得2分。 4. 不提供不得分。</w:t>
            </w:r>
          </w:p>
        </w:tc>
      </w:tr>
      <w:tr>
        <w:tc>
          <w:tcPr>
            <w:tcW w:type="dxa" w:w="922"/>
            <w:gridSpan w:val="2"/>
            <w:vMerge/>
          </w:tcPr>
          <w:p/>
        </w:tc>
        <w:tc>
          <w:tcPr>
            <w:tcW w:type="dxa" w:w="2307"/>
          </w:tcPr>
          <w:p>
            <w:pPr>
              <w:pStyle w:val="null3"/>
              <w:jc w:val="left"/>
            </w:pPr>
            <w:r>
              <w:rPr/>
              <w:t>佛山民营企业的品牌建设现状、问题及对策研究专题调研 (5.0分)</w:t>
            </w:r>
          </w:p>
        </w:tc>
        <w:tc>
          <w:tcPr>
            <w:tcW w:type="dxa" w:w="5076"/>
          </w:tcPr>
          <w:p>
            <w:pPr>
              <w:pStyle w:val="null3"/>
              <w:jc w:val="left"/>
            </w:pPr>
            <w:r>
              <w:rPr/>
              <w:t>根据响应供应商提供的“佛山民营企业的品牌建设现状、问题及对策研究”专题调研方案进行评审，方案包括但不限于设计组织调研活动、进度安排计划、调研成果提纲、成果转化等： 1. 方案包含以上全部内容，且方案内容详细、操作性强，进度安排合理，完全满足采购需求的，得5分； 2. 方案包含以上全部内容，且方案内容基本详细、具有操作性，进度安排基本合理，基本满足采购需求的，得3分； 3. 方案内容缺失或方案内容简单，仅部分内容满足采购需求的，得1分； 4. 不提供不得分。</w:t>
            </w:r>
          </w:p>
        </w:tc>
      </w:tr>
      <w:tr>
        <w:tc>
          <w:tcPr>
            <w:tcW w:type="dxa" w:w="922"/>
            <w:gridSpan w:val="2"/>
            <w:vMerge/>
          </w:tcPr>
          <w:p/>
        </w:tc>
        <w:tc>
          <w:tcPr>
            <w:tcW w:type="dxa" w:w="2307"/>
          </w:tcPr>
          <w:p>
            <w:pPr>
              <w:pStyle w:val="null3"/>
              <w:jc w:val="left"/>
            </w:pPr>
            <w:r>
              <w:rPr/>
              <w:t>构建‘企业家+科学家+金融家’产业生态、服务‘智造强市’建设的路径研究专题调研 (5.0分)</w:t>
            </w:r>
          </w:p>
        </w:tc>
        <w:tc>
          <w:tcPr>
            <w:tcW w:type="dxa" w:w="5076"/>
          </w:tcPr>
          <w:p>
            <w:pPr>
              <w:pStyle w:val="null3"/>
              <w:jc w:val="left"/>
            </w:pPr>
            <w:r>
              <w:rPr/>
              <w:t>根据响应供应商提供的“构建‘企业家+科学家+金融家’产业生态、服务‘智造强市’建设的路径研究”专题调研方案进行评审，方案包括但不限于设计组织调研活动、进度安排计划、调研成果提纲、成果转化等： 1. 方案包含以上全部内容，且方案内容详细、操作性强，进度安排合理，完全满足采购需求的，得5分； 2. 方案包含以上全部内容，且方案内容基本详细、具有操作性，进度安排基本合理，基本满足采购需求的，得3分； 3. 方案内容缺失或方案内容简单，仅部分内容满足采购需求的，得1分； 4. 不提供不得分。</w:t>
            </w:r>
          </w:p>
        </w:tc>
      </w:tr>
      <w:tr>
        <w:tc>
          <w:tcPr>
            <w:tcW w:type="dxa" w:w="922"/>
            <w:gridSpan w:val="2"/>
            <w:vMerge/>
          </w:tcPr>
          <w:p/>
        </w:tc>
        <w:tc>
          <w:tcPr>
            <w:tcW w:type="dxa" w:w="2307"/>
          </w:tcPr>
          <w:p>
            <w:pPr>
              <w:pStyle w:val="null3"/>
              <w:jc w:val="left"/>
            </w:pPr>
            <w:r>
              <w:rPr/>
              <w:t>专题片方案 (5.0分)</w:t>
            </w:r>
          </w:p>
        </w:tc>
        <w:tc>
          <w:tcPr>
            <w:tcW w:type="dxa" w:w="5076"/>
          </w:tcPr>
          <w:p>
            <w:pPr>
              <w:pStyle w:val="null3"/>
              <w:jc w:val="left"/>
            </w:pPr>
            <w:r>
              <w:rPr/>
              <w:t>根据响应供应商提供的2个专题片（8分钟左右）方案进行评审，方案包括但不限于策划脚本、制作周期、人员设备配置、意识形态审核、售后服务保障等： 1.方案包含以上全部内容，且内容详细、操作性强、传播力强，完全满足采购需求的，得5分； 2.方案包含以上全部内容，且内容基本详细、具有操作尚可、传播力尚可，基本满足采购需求的，得3分； 3.方案内容缺失或方案不完整，内容简单、传播力弱，仅部分内容满足采购需求的，得1分； 4. 不提供不得分。</w:t>
            </w:r>
          </w:p>
        </w:tc>
      </w:tr>
      <w:tr>
        <w:tc>
          <w:tcPr>
            <w:tcW w:type="dxa" w:w="922"/>
            <w:gridSpan w:val="2"/>
            <w:vMerge/>
          </w:tcPr>
          <w:p/>
        </w:tc>
        <w:tc>
          <w:tcPr>
            <w:tcW w:type="dxa" w:w="2307"/>
          </w:tcPr>
          <w:p>
            <w:pPr>
              <w:pStyle w:val="null3"/>
              <w:jc w:val="left"/>
            </w:pPr>
            <w:r>
              <w:rPr/>
              <w:t>“佛山市企业家日”活动方案 (5.0分)</w:t>
            </w:r>
          </w:p>
        </w:tc>
        <w:tc>
          <w:tcPr>
            <w:tcW w:type="dxa" w:w="5076"/>
          </w:tcPr>
          <w:p>
            <w:pPr>
              <w:pStyle w:val="null3"/>
              <w:jc w:val="left"/>
            </w:pPr>
            <w:r>
              <w:rPr/>
              <w:t>根据响应供应商提供的“佛山市企业家日”活动方案进行评审，方案包括但不限于专家资源、人员设备配置、物料及执行等： 1.方案包含以上全部内容，且内容详细、操作性强、传播力强，完全满足采购需求的，得5分； 2.方案包含以上全部内容，且内容基本详细、具有操作性、传播力尚可，基本满足采购需求的，得3分； 3.方案内容缺失或方案不完整，内容简单、传播力弱，仅部分内容满足采购需求的，得1分； 4. 不提供不得分。</w:t>
            </w:r>
          </w:p>
        </w:tc>
      </w:tr>
      <w:tr>
        <w:tc>
          <w:tcPr>
            <w:tcW w:type="dxa" w:w="922"/>
            <w:gridSpan w:val="2"/>
            <w:vMerge/>
          </w:tcPr>
          <w:p/>
        </w:tc>
        <w:tc>
          <w:tcPr>
            <w:tcW w:type="dxa" w:w="2307"/>
          </w:tcPr>
          <w:p>
            <w:pPr>
              <w:pStyle w:val="null3"/>
              <w:jc w:val="left"/>
            </w:pPr>
            <w:r>
              <w:rPr/>
              <w:t>成果汇编方案 (5.0分)</w:t>
            </w:r>
          </w:p>
        </w:tc>
        <w:tc>
          <w:tcPr>
            <w:tcW w:type="dxa" w:w="5076"/>
          </w:tcPr>
          <w:p>
            <w:pPr>
              <w:pStyle w:val="null3"/>
              <w:jc w:val="left"/>
            </w:pPr>
            <w:r>
              <w:rPr/>
              <w:t>根据响应供应商提供的成果汇编方案进行评审，方案包括但不限于设计、进度安排计划、提纲、成果转化等： 1. 方案包含以上全部内容，且方案内容详细、操作性强，进度安排合理，设计、提纲、成果转化等完全满足采购需求的，得5分； 2. 方案包含以上全部内容，且方案内容基本详细、具有操作性，进度安排尚可，设计、提纲、成果转化等基本满足采购需求的，得3分； 3. 方案内容缺失或方案内容简单，仅部分内容满足采购需求的，得1分； 4. 不提供不得分。</w:t>
            </w:r>
          </w:p>
        </w:tc>
      </w:tr>
      <w:tr>
        <w:tc>
          <w:tcPr>
            <w:tcW w:type="dxa" w:w="922"/>
            <w:gridSpan w:val="2"/>
            <w:vMerge/>
          </w:tcPr>
          <w:p/>
        </w:tc>
        <w:tc>
          <w:tcPr>
            <w:tcW w:type="dxa" w:w="2307"/>
          </w:tcPr>
          <w:p>
            <w:pPr>
              <w:pStyle w:val="null3"/>
              <w:jc w:val="left"/>
            </w:pPr>
            <w:r>
              <w:rPr/>
              <w:t>专家导师资源 (5.0分)</w:t>
            </w:r>
          </w:p>
        </w:tc>
        <w:tc>
          <w:tcPr>
            <w:tcW w:type="dxa" w:w="5076"/>
          </w:tcPr>
          <w:p>
            <w:pPr>
              <w:pStyle w:val="null3"/>
              <w:jc w:val="left"/>
            </w:pPr>
            <w:r>
              <w:rPr/>
              <w:t>根据响应供应商邀请的专家导师资源进行评审。专家导师须对民营企业和企业家有一定的研究，在中国经济学界具有一定的影响，能亲身参与本项目（包括但不限于2场跨城对标调研学习活动等）。 1.出具相关能邀请到两名或以上专家导师证明材料，专家导师资源层次高，完全符合采购需求的，得5分； 2.出具相关能邀请到两名专家导师证明材料，专家导师资源层次尚可，基本能满足采购需求的，得3分； 3.出具相关能邀请到一名专家导师证明材料，专家导师资源层次低，部分满足采购需求的，得1分； 4.不提供不得分。 （注：供应商须提供能邀请到专家导师的证明材料，以及专家导师简介履历材料等并加盖供应商公章）</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(10.0分)</w:t>
            </w:r>
          </w:p>
        </w:tc>
        <w:tc>
          <w:tcPr>
            <w:tcW w:type="dxa" w:w="5076"/>
          </w:tcPr>
          <w:p>
            <w:pPr>
              <w:pStyle w:val="null3"/>
              <w:jc w:val="left"/>
            </w:pPr>
            <w:r>
              <w:rPr/>
              <w:t>2023年1月1日至投标截止前（以合同签订时间为准）响应供应商具有同类项目业绩的，每个得2分，本项累计最高得10分。 注：须同时提供合同复印件并加盖响应供应商公章作为证明材料，不提供不得分。</w:t>
            </w:r>
          </w:p>
        </w:tc>
      </w:tr>
      <w:tr>
        <w:tc>
          <w:tcPr>
            <w:tcW w:type="dxa" w:w="922"/>
            <w:gridSpan w:val="2"/>
            <w:vMerge/>
          </w:tcPr>
          <w:p/>
        </w:tc>
        <w:tc>
          <w:tcPr>
            <w:tcW w:type="dxa" w:w="2307"/>
          </w:tcPr>
          <w:p>
            <w:pPr>
              <w:pStyle w:val="null3"/>
              <w:jc w:val="left"/>
            </w:pPr>
            <w:r>
              <w:rPr/>
              <w:t>客户评价 (5.0分)</w:t>
            </w:r>
          </w:p>
        </w:tc>
        <w:tc>
          <w:tcPr>
            <w:tcW w:type="dxa" w:w="5076"/>
          </w:tcPr>
          <w:p>
            <w:pPr>
              <w:pStyle w:val="null3"/>
              <w:jc w:val="left"/>
            </w:pPr>
            <w:r>
              <w:rPr/>
              <w:t>在上述提供同类业绩评审中的有效业绩且提供客户评价（含评价函/满意度调查等，结论须达到优秀或同等正面评价，结论为通过或合格、须整改或不合格等中性或负面评价的不得分）的，每提供一个得1分，本项累计最高得5分。 注：供应商须提供客户评价相关资料（须有客户单位公章）的复印件（或扫描件）并加盖供应商公章，不提供的不得分。同一业绩不得重复得分。</w:t>
            </w:r>
          </w:p>
        </w:tc>
      </w:tr>
      <w:tr>
        <w:tc>
          <w:tcPr>
            <w:tcW w:type="dxa" w:w="922"/>
            <w:gridSpan w:val="2"/>
            <w:vMerge/>
          </w:tcPr>
          <w:p/>
        </w:tc>
        <w:tc>
          <w:tcPr>
            <w:tcW w:type="dxa" w:w="2307"/>
          </w:tcPr>
          <w:p>
            <w:pPr>
              <w:pStyle w:val="null3"/>
              <w:jc w:val="left"/>
            </w:pPr>
            <w:r>
              <w:rPr/>
              <w:t>拟投入本项目人员情况 (10.0分)</w:t>
            </w:r>
          </w:p>
        </w:tc>
        <w:tc>
          <w:tcPr>
            <w:tcW w:type="dxa" w:w="5076"/>
          </w:tcPr>
          <w:p>
            <w:pPr>
              <w:pStyle w:val="null3"/>
              <w:jc w:val="left"/>
            </w:pPr>
            <w:r>
              <w:rPr/>
              <w:t>拟投入本项目人员具备同类项目经验的，每提供1人得1分，本项累计最高得10分。 注：提供合同复印件并加盖供应商公章作为证明材料，若合同中未体现项目人员名字，则需客户出具人员相关证明材料并加盖公章，且供应商提供人员相关履历证明材料并加盖公章，不提供不得分。</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68"/>
          <w:color w:val="000000"/>
        </w:rPr>
        <w:t>佛山市政府采购项目</w:t>
      </w:r>
    </w:p>
    <w:p>
      <w:pPr>
        <w:pStyle w:val="null3"/>
        <w:jc w:val="center"/>
      </w:pPr>
      <w:r>
        <w:rPr>
          <w:sz w:val="68"/>
          <w:color w:val="000000"/>
        </w:rPr>
        <w:t>合同书</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ind w:firstLine="2409"/>
        <w:jc w:val="both"/>
      </w:pPr>
      <w:r>
        <w:rPr>
          <w:sz w:val="24"/>
          <w:b/>
          <w:color w:val="000000"/>
        </w:rPr>
        <w:t>项目编号：</w:t>
      </w:r>
      <w:r>
        <w:rPr>
          <w:b/>
          <w:u w:val="single"/>
        </w:rPr>
        <w:t xml:space="preserve">                   </w:t>
      </w:r>
    </w:p>
    <w:p>
      <w:pPr>
        <w:pStyle w:val="null3"/>
        <w:ind w:firstLine="2409"/>
        <w:jc w:val="both"/>
      </w:pPr>
      <w:r>
        <w:rPr>
          <w:sz w:val="24"/>
          <w:b/>
          <w:color w:val="000000"/>
        </w:rPr>
        <w:t>项目名称：</w:t>
      </w:r>
      <w:r>
        <w:rPr>
          <w:b/>
          <w:u w:val="single"/>
        </w:rPr>
        <w:t xml:space="preserve">                   </w:t>
      </w:r>
    </w:p>
    <w:p>
      <w:pPr>
        <w:pStyle w:val="null3"/>
        <w:ind w:firstLine="2409"/>
        <w:jc w:val="both"/>
      </w:pPr>
      <w:r>
        <w:rPr>
          <w:sz w:val="24"/>
          <w:b/>
          <w:color w:val="000000"/>
        </w:rPr>
        <w:t>采购标的名称：</w:t>
      </w:r>
      <w:r>
        <w:rPr>
          <w:sz w:val="24"/>
          <w:b/>
          <w:color w:val="000000"/>
          <w:u w:val="single"/>
        </w:rPr>
        <w:t>“领航佛商”系列活动</w:t>
      </w:r>
    </w:p>
    <w:p>
      <w:pPr>
        <w:pStyle w:val="null3"/>
        <w:ind w:firstLine="2409"/>
        <w:jc w:val="both"/>
      </w:pPr>
      <w:r>
        <w:rPr>
          <w:sz w:val="24"/>
          <w:b/>
          <w:color w:val="000000"/>
        </w:rPr>
        <w:t>采购包：</w:t>
      </w:r>
      <w:r>
        <w:rPr>
          <w:b/>
          <w:u w:val="single"/>
        </w:rPr>
        <w:t xml:space="preserve"> </w:t>
      </w:r>
      <w:r>
        <w:rPr>
          <w:sz w:val="24"/>
          <w:b/>
          <w:color w:val="000000"/>
          <w:u w:val="single"/>
        </w:rPr>
        <w:t>采购包</w:t>
      </w:r>
      <w:r>
        <w:rPr>
          <w:sz w:val="24"/>
          <w:b/>
          <w:color w:val="000000"/>
          <w:u w:val="single"/>
        </w:rPr>
        <w:t>1</w:t>
      </w:r>
      <w:r>
        <w:rPr>
          <w:b/>
          <w:u w:val="single"/>
        </w:rPr>
        <w:t xml:space="preserve">  </w:t>
      </w:r>
    </w:p>
    <w:p>
      <w:pPr>
        <w:pStyle w:val="null3"/>
        <w:ind w:firstLine="2409"/>
        <w:jc w:val="both"/>
      </w:pPr>
      <w:r>
        <w:rPr/>
        <w:t xml:space="preserve"> </w:t>
      </w:r>
    </w:p>
    <w:p>
      <w:pPr>
        <w:pStyle w:val="null3"/>
        <w:ind w:firstLine="2409"/>
        <w:jc w:val="both"/>
      </w:pPr>
      <w:r>
        <w:rPr/>
        <w:t xml:space="preserve"> </w:t>
      </w:r>
    </w:p>
    <w:p>
      <w:pPr>
        <w:pStyle w:val="null3"/>
        <w:ind w:firstLine="2409"/>
        <w:jc w:val="both"/>
      </w:pPr>
      <w:r>
        <w:rPr/>
        <w:t xml:space="preserve"> </w:t>
      </w:r>
    </w:p>
    <w:p>
      <w:pPr>
        <w:pStyle w:val="null3"/>
        <w:ind w:firstLine="2409"/>
        <w:jc w:val="both"/>
      </w:pPr>
      <w:r>
        <w:rPr/>
        <w:t xml:space="preserve"> </w:t>
      </w:r>
    </w:p>
    <w:p>
      <w:pPr>
        <w:pStyle w:val="null3"/>
        <w:ind w:firstLine="2409"/>
        <w:jc w:val="both"/>
      </w:pPr>
      <w:r>
        <w:rPr/>
        <w:t xml:space="preserve"> </w:t>
      </w:r>
    </w:p>
    <w:p>
      <w:pPr>
        <w:pStyle w:val="null3"/>
        <w:ind w:firstLine="2409"/>
        <w:jc w:val="both"/>
      </w:pPr>
      <w:r>
        <w:rPr/>
        <w:t xml:space="preserve"> </w:t>
      </w:r>
    </w:p>
    <w:tbl>
      <w:tblPr>
        <w:tblW w:w="0" w:type="auto"/>
        <w:tblBorders>
          <w:top w:val="none" w:color="000000" w:sz="4"/>
          <w:left w:val="none" w:color="000000" w:sz="4"/>
          <w:bottom w:val="none" w:color="000000" w:sz="4"/>
          <w:right w:val="none" w:color="000000" w:sz="4"/>
          <w:insideH w:val="none"/>
          <w:insideV w:val="none"/>
        </w:tblBorders>
      </w:tblPr>
      <w:tblGrid>
        <w:gridCol w:w="2268"/>
        <w:gridCol w:w="6038"/>
      </w:tblGrid>
      <w:tr>
        <w:tc>
          <w:tcPr>
            <w:tcW w:type="dxa" w:w="226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center"/>
            </w:pPr>
            <w:r>
              <w:rPr>
                <w:sz w:val="28"/>
                <w:color w:val="000000"/>
              </w:rPr>
              <w:t>甲</w:t>
            </w:r>
            <w:r>
              <w:rPr>
                <w:sz w:val="28"/>
                <w:color w:val="000000"/>
              </w:rPr>
              <w:t xml:space="preserve">  </w:t>
            </w:r>
            <w:r>
              <w:rPr>
                <w:sz w:val="28"/>
                <w:color w:val="000000"/>
              </w:rPr>
              <w:t>方：</w:t>
            </w:r>
          </w:p>
        </w:tc>
        <w:tc>
          <w:tcPr>
            <w:tcW w:type="dxa" w:w="603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8"/>
                <w:color w:val="000000"/>
                <w:u w:val="single"/>
              </w:rPr>
              <w:t xml:space="preserve">         </w:t>
            </w:r>
            <w:r>
              <w:rPr>
                <w:sz w:val="28"/>
                <w:color w:val="000000"/>
                <w:u w:val="single"/>
              </w:rPr>
              <w:t>采购人名称</w:t>
            </w:r>
            <w:r>
              <w:rPr>
                <w:sz w:val="19"/>
                <w:u w:val="single"/>
              </w:rPr>
              <w:t xml:space="preserve">         </w:t>
            </w:r>
          </w:p>
        </w:tc>
      </w:tr>
      <w:tr>
        <w:tc>
          <w:tcPr>
            <w:tcW w:type="dxa" w:w="226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center"/>
            </w:pPr>
            <w:r>
              <w:rPr>
                <w:sz w:val="28"/>
                <w:color w:val="000000"/>
              </w:rPr>
              <w:t>乙</w:t>
            </w:r>
            <w:r>
              <w:rPr>
                <w:sz w:val="28"/>
                <w:color w:val="000000"/>
              </w:rPr>
              <w:t xml:space="preserve">  </w:t>
            </w:r>
            <w:r>
              <w:rPr>
                <w:sz w:val="28"/>
                <w:color w:val="000000"/>
              </w:rPr>
              <w:t>方：</w:t>
            </w:r>
          </w:p>
        </w:tc>
        <w:tc>
          <w:tcPr>
            <w:tcW w:type="dxa" w:w="603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8"/>
                <w:color w:val="000000"/>
                <w:u w:val="single"/>
              </w:rPr>
              <w:t xml:space="preserve">  </w:t>
            </w:r>
            <w:r>
              <w:rPr>
                <w:sz w:val="28"/>
                <w:color w:val="000000"/>
                <w:u w:val="single"/>
              </w:rPr>
              <w:t>（中标</w:t>
            </w:r>
            <w:r>
              <w:rPr>
                <w:sz w:val="28"/>
                <w:color w:val="000000"/>
                <w:u w:val="single"/>
              </w:rPr>
              <w:t xml:space="preserve">/成交供应商名称）      </w:t>
            </w:r>
          </w:p>
        </w:tc>
      </w:tr>
      <w:tr>
        <w:tc>
          <w:tcPr>
            <w:tcW w:type="dxa" w:w="226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center"/>
            </w:pPr>
            <w:r>
              <w:rPr>
                <w:sz w:val="28"/>
                <w:color w:val="000000"/>
              </w:rPr>
              <w:t>签订日期：</w:t>
            </w:r>
          </w:p>
        </w:tc>
        <w:tc>
          <w:tcPr>
            <w:tcW w:type="dxa" w:w="603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19"/>
                <w:u w:val="single"/>
              </w:rPr>
              <w:t xml:space="preserve">       </w:t>
            </w:r>
            <w:r>
              <w:rPr>
                <w:sz w:val="28"/>
                <w:color w:val="000000"/>
                <w:u w:val="single"/>
              </w:rPr>
              <w:t>年</w:t>
            </w:r>
            <w:r>
              <w:rPr>
                <w:sz w:val="19"/>
                <w:u w:val="single"/>
              </w:rPr>
              <w:t xml:space="preserve">   </w:t>
            </w:r>
            <w:r>
              <w:rPr>
                <w:sz w:val="28"/>
                <w:color w:val="000000"/>
                <w:u w:val="single"/>
              </w:rPr>
              <w:t>月</w:t>
            </w:r>
            <w:r>
              <w:rPr>
                <w:sz w:val="19"/>
                <w:u w:val="single"/>
              </w:rPr>
              <w:t xml:space="preserve">    </w:t>
            </w:r>
            <w:r>
              <w:rPr>
                <w:sz w:val="28"/>
                <w:color w:val="000000"/>
                <w:u w:val="single"/>
              </w:rPr>
              <w:t>日</w:t>
            </w:r>
            <w:r>
              <w:rPr>
                <w:sz w:val="28"/>
                <w:color w:val="000000"/>
                <w:u w:val="single"/>
              </w:rPr>
              <w:t xml:space="preserve">      </w:t>
            </w:r>
          </w:p>
          <w:p>
            <w:pPr>
              <w:pStyle w:val="null3"/>
              <w:jc w:val="left"/>
            </w:pPr>
            <w:r>
              <w:rPr>
                <w:sz w:val="19"/>
              </w:rPr>
              <w:t xml:space="preserve"> </w:t>
            </w:r>
          </w:p>
          <w:p>
            <w:pPr>
              <w:pStyle w:val="null3"/>
              <w:jc w:val="left"/>
            </w:pPr>
            <w:r>
              <w:rPr>
                <w:sz w:val="19"/>
              </w:rPr>
              <w:t xml:space="preserve"> </w:t>
            </w:r>
          </w:p>
        </w:tc>
      </w:tr>
    </w:tbl>
    <w:p>
      <w:pPr>
        <w:pStyle w:val="null3"/>
        <w:jc w:val="center"/>
      </w:pPr>
      <w:r>
        <w:rPr>
          <w:sz w:val="44"/>
          <w:b/>
          <w:color w:val="000000"/>
        </w:rPr>
        <w:t>佛山市政府采购项目合同书</w:t>
      </w:r>
    </w:p>
    <w:tbl>
      <w:tblPr>
        <w:tblW w:w="0" w:type="auto"/>
        <w:tblBorders>
          <w:top w:val="none" w:color="000000" w:sz="4"/>
          <w:left w:val="none" w:color="000000" w:sz="4"/>
          <w:bottom w:val="none" w:color="000000" w:sz="4"/>
          <w:right w:val="none" w:color="000000" w:sz="4"/>
          <w:insideH w:val="none"/>
          <w:insideV w:val="none"/>
        </w:tblBorders>
      </w:tblPr>
      <w:tblGrid>
        <w:gridCol w:w="1637"/>
        <w:gridCol w:w="6669"/>
      </w:tblGrid>
      <w:tr>
        <w:tc>
          <w:tcPr>
            <w:tcW w:type="dxa" w:w="163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color w:val="000000"/>
              </w:rPr>
              <w:t>项目名称：</w:t>
            </w:r>
          </w:p>
        </w:tc>
        <w:tc>
          <w:tcPr>
            <w:tcW w:type="dxa" w:w="666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1"/>
                <w:color w:val="000000"/>
                <w:u w:val="single"/>
              </w:rPr>
              <w:t>“领航佛商”系列活动</w:t>
            </w:r>
          </w:p>
        </w:tc>
      </w:tr>
      <w:tr>
        <w:tc>
          <w:tcPr>
            <w:tcW w:type="dxa" w:w="163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color w:val="000000"/>
              </w:rPr>
              <w:t>项目编号：</w:t>
            </w:r>
          </w:p>
        </w:tc>
        <w:tc>
          <w:tcPr>
            <w:tcW w:type="dxa" w:w="666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color w:val="000000"/>
                <w:u w:val="single"/>
              </w:rPr>
              <w:t>YCZB26XC002</w:t>
            </w:r>
          </w:p>
        </w:tc>
      </w:tr>
      <w:tr>
        <w:tc>
          <w:tcPr>
            <w:tcW w:type="dxa" w:w="163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color w:val="000000"/>
              </w:rPr>
              <w:t>甲</w:t>
            </w:r>
            <w:r>
              <w:rPr>
                <w:sz w:val="19"/>
                <w:b/>
              </w:rPr>
              <w:t xml:space="preserve">    </w:t>
            </w:r>
            <w:r>
              <w:rPr>
                <w:sz w:val="21"/>
                <w:b/>
                <w:color w:val="000000"/>
              </w:rPr>
              <w:t>方：</w:t>
            </w:r>
          </w:p>
        </w:tc>
        <w:tc>
          <w:tcPr>
            <w:tcW w:type="dxa" w:w="666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color w:val="000000"/>
                <w:u w:val="single"/>
              </w:rPr>
              <w:t>佛山市工商业联合会</w:t>
            </w:r>
          </w:p>
        </w:tc>
      </w:tr>
      <w:tr>
        <w:tc>
          <w:tcPr>
            <w:tcW w:type="dxa" w:w="163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color w:val="000000"/>
              </w:rPr>
              <w:t>乙</w:t>
            </w:r>
            <w:r>
              <w:rPr>
                <w:sz w:val="21"/>
                <w:b/>
                <w:color w:val="000000"/>
              </w:rPr>
              <w:t xml:space="preserve">  </w:t>
            </w:r>
            <w:r>
              <w:rPr>
                <w:sz w:val="21"/>
                <w:b/>
                <w:color w:val="000000"/>
              </w:rPr>
              <w:t>方：</w:t>
            </w:r>
          </w:p>
        </w:tc>
        <w:tc>
          <w:tcPr>
            <w:tcW w:type="dxa" w:w="666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color w:val="000000"/>
                <w:u w:val="single"/>
              </w:rPr>
              <w:t>（中标</w:t>
            </w:r>
            <w:r>
              <w:rPr>
                <w:sz w:val="21"/>
                <w:color w:val="000000"/>
                <w:u w:val="single"/>
              </w:rPr>
              <w:t xml:space="preserve">/成交供应商）                 </w:t>
            </w:r>
          </w:p>
        </w:tc>
      </w:tr>
      <w:tr>
        <w:tc>
          <w:tcPr>
            <w:tcW w:type="dxa" w:w="163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color w:val="000000"/>
              </w:rPr>
              <w:t>合同性质：</w:t>
            </w:r>
          </w:p>
        </w:tc>
        <w:tc>
          <w:tcPr>
            <w:tcW w:type="dxa" w:w="666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color w:val="000000"/>
                <w:u w:val="single"/>
              </w:rPr>
              <w:t>本合同为中小企业预留合同</w:t>
            </w:r>
          </w:p>
        </w:tc>
      </w:tr>
    </w:tbl>
    <w:p>
      <w:pPr>
        <w:pStyle w:val="null3"/>
        <w:ind w:firstLine="420"/>
        <w:jc w:val="both"/>
      </w:pPr>
      <w:r>
        <w:rPr>
          <w:sz w:val="21"/>
          <w:color w:val="000000"/>
        </w:rPr>
        <w:t>根据《中华人民共和国政府采购法》《中华人民共和国民法典》和本项目采购文件的要求，经双方协商，本着平等互利和诚实信用的原则，一致同意签订本合同如下。</w:t>
      </w:r>
    </w:p>
    <w:p>
      <w:pPr>
        <w:pStyle w:val="null3"/>
        <w:jc w:val="both"/>
      </w:pPr>
      <w:r>
        <w:rPr>
          <w:sz w:val="21"/>
          <w:b/>
          <w:color w:val="000000"/>
        </w:rPr>
        <w:t>一、基本合同条款一览表</w:t>
      </w:r>
    </w:p>
    <w:tbl>
      <w:tblPr>
        <w:tblW w:w="0" w:type="auto"/>
        <w:tblBorders>
          <w:top w:val="none" w:color="000000" w:sz="4"/>
          <w:left w:val="none" w:color="000000" w:sz="4"/>
          <w:bottom w:val="none" w:color="000000" w:sz="4"/>
          <w:right w:val="none" w:color="000000" w:sz="4"/>
          <w:insideH w:val="none"/>
          <w:insideV w:val="none"/>
        </w:tblBorders>
      </w:tblPr>
      <w:tblGrid>
        <w:gridCol w:w="616"/>
        <w:gridCol w:w="1142"/>
        <w:gridCol w:w="6549"/>
      </w:tblGrid>
      <w:tr>
        <w:tc>
          <w:tcPr>
            <w:tcW w:type="dxa" w:w="6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序号</w:t>
            </w:r>
          </w:p>
        </w:tc>
        <w:tc>
          <w:tcPr>
            <w:tcW w:type="dxa" w:w="11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合同条款</w:t>
            </w:r>
          </w:p>
        </w:tc>
        <w:tc>
          <w:tcPr>
            <w:tcW w:type="dxa" w:w="654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内容</w:t>
            </w:r>
          </w:p>
        </w:tc>
      </w:tr>
      <w:tr>
        <w:tc>
          <w:tcPr>
            <w:tcW w:type="dxa" w:w="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1.</w:t>
            </w:r>
          </w:p>
        </w:tc>
        <w:tc>
          <w:tcPr>
            <w:tcW w:type="dxa" w:w="11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合同总额</w:t>
            </w:r>
          </w:p>
        </w:tc>
        <w:tc>
          <w:tcPr>
            <w:tcW w:type="dxa" w:w="65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人民币小写：</w:t>
            </w:r>
            <w:r>
              <w:rPr>
                <w:sz w:val="19"/>
                <w:u w:val="single"/>
              </w:rPr>
              <w:t xml:space="preserve">             </w:t>
            </w:r>
            <w:r>
              <w:rPr>
                <w:sz w:val="21"/>
                <w:color w:val="000000"/>
              </w:rPr>
              <w:t>元；</w:t>
            </w:r>
          </w:p>
          <w:p>
            <w:pPr>
              <w:pStyle w:val="null3"/>
              <w:jc w:val="both"/>
            </w:pPr>
            <w:r>
              <w:rPr>
                <w:sz w:val="21"/>
                <w:color w:val="000000"/>
              </w:rPr>
              <w:t>大写：</w:t>
            </w:r>
            <w:r>
              <w:rPr>
                <w:sz w:val="19"/>
                <w:u w:val="single"/>
              </w:rPr>
              <w:t xml:space="preserve">                          </w:t>
            </w:r>
          </w:p>
        </w:tc>
      </w:tr>
      <w:tr>
        <w:tc>
          <w:tcPr>
            <w:tcW w:type="dxa" w:w="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2.</w:t>
            </w:r>
          </w:p>
        </w:tc>
        <w:tc>
          <w:tcPr>
            <w:tcW w:type="dxa" w:w="11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合同总额细项</w:t>
            </w:r>
          </w:p>
        </w:tc>
        <w:tc>
          <w:tcPr>
            <w:tcW w:type="dxa" w:w="65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tbl>
            <w:tblPr>
              <w:tblInd w:type="dxa" w:w="45"/>
              <w:tblBorders>
                <w:top w:val="none" w:color="000000" w:sz="4"/>
                <w:left w:val="none" w:color="000000" w:sz="4"/>
                <w:bottom w:val="none" w:color="000000" w:sz="4"/>
                <w:right w:val="none" w:color="000000" w:sz="4"/>
                <w:insideH w:val="none"/>
                <w:insideV w:val="none"/>
              </w:tblBorders>
            </w:tblPr>
            <w:tblGrid>
              <w:gridCol w:w="438"/>
              <w:gridCol w:w="1693"/>
              <w:gridCol w:w="2872"/>
              <w:gridCol w:w="1330"/>
            </w:tblGrid>
            <w:tr>
              <w:tc>
                <w:tcPr>
                  <w:tcW w:type="dxa" w:w="4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169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子项目</w:t>
                  </w:r>
                </w:p>
              </w:tc>
              <w:tc>
                <w:tcPr>
                  <w:tcW w:type="dxa" w:w="287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服务内容</w:t>
                  </w:r>
                </w:p>
              </w:tc>
              <w:tc>
                <w:tcPr>
                  <w:tcW w:type="dxa" w:w="133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金额</w:t>
                  </w: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6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综合智库建设及相关成果发布</w:t>
                  </w:r>
                </w:p>
              </w:tc>
              <w:tc>
                <w:tcPr>
                  <w:tcW w:type="dxa" w:w="2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两大专题调研、</w:t>
                  </w:r>
                </w:p>
                <w:p>
                  <w:pPr>
                    <w:pStyle w:val="null3"/>
                    <w:jc w:val="center"/>
                  </w:pPr>
                  <w:r>
                    <w:rPr>
                      <w:sz w:val="21"/>
                      <w:color w:val="000000"/>
                    </w:rPr>
                    <w:t>两个</w:t>
                  </w:r>
                  <w:r>
                    <w:rPr>
                      <w:sz w:val="21"/>
                      <w:color w:val="000000"/>
                    </w:rPr>
                    <w:t>专题片（</w:t>
                  </w:r>
                  <w:r>
                    <w:rPr>
                      <w:sz w:val="21"/>
                      <w:color w:val="000000"/>
                    </w:rPr>
                    <w:t>共</w:t>
                  </w:r>
                  <w:r>
                    <w:rPr>
                      <w:sz w:val="21"/>
                      <w:color w:val="000000"/>
                    </w:rPr>
                    <w:t>8</w:t>
                  </w:r>
                  <w:r>
                    <w:rPr>
                      <w:sz w:val="21"/>
                      <w:color w:val="000000"/>
                    </w:rPr>
                    <w:t>分钟左右）、成果汇编（制作</w:t>
                  </w:r>
                  <w:r>
                    <w:rPr>
                      <w:sz w:val="21"/>
                      <w:color w:val="000000"/>
                    </w:rPr>
                    <w:t>2</w:t>
                  </w:r>
                  <w:r>
                    <w:rPr>
                      <w:sz w:val="21"/>
                      <w:color w:val="000000"/>
                    </w:rPr>
                    <w:t>000本）</w:t>
                  </w:r>
                </w:p>
              </w:tc>
              <w:tc>
                <w:tcPr>
                  <w:tcW w:type="dxa" w:w="13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6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跨城对标调研学习活动</w:t>
                  </w:r>
                </w:p>
              </w:tc>
              <w:tc>
                <w:tcPr>
                  <w:tcW w:type="dxa" w:w="2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跨城对标调研学习活动（含成果）</w:t>
                  </w:r>
                </w:p>
              </w:tc>
              <w:tc>
                <w:tcPr>
                  <w:tcW w:type="dxa" w:w="13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6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“草灌乔林”企业赋能活动</w:t>
                  </w:r>
                </w:p>
              </w:tc>
              <w:tc>
                <w:tcPr>
                  <w:tcW w:type="dxa" w:w="2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“草灌乔林”企业赋能活动</w:t>
                  </w:r>
                </w:p>
              </w:tc>
              <w:tc>
                <w:tcPr>
                  <w:tcW w:type="dxa" w:w="13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4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16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“佛山市企业家日”活动</w:t>
                  </w:r>
                </w:p>
              </w:tc>
              <w:tc>
                <w:tcPr>
                  <w:tcW w:type="dxa" w:w="28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“佛山市企业家日”活动</w:t>
                  </w:r>
                </w:p>
              </w:tc>
              <w:tc>
                <w:tcPr>
                  <w:tcW w:type="dxa" w:w="13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2131"/>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合计</w:t>
                  </w:r>
                </w:p>
              </w:tc>
              <w:tc>
                <w:tcPr>
                  <w:tcW w:type="dxa" w:w="420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 xml:space="preserve">  </w:t>
                  </w:r>
                  <w:r>
                    <w:rPr>
                      <w:sz w:val="21"/>
                      <w:color w:val="000000"/>
                    </w:rPr>
                    <w:t>万元</w:t>
                  </w:r>
                </w:p>
              </w:tc>
            </w:tr>
          </w:tbl>
          <w:p>
            <w:pPr>
              <w:pStyle w:val="null3"/>
              <w:jc w:val="both"/>
            </w:pPr>
          </w:p>
        </w:tc>
      </w:tr>
      <w:tr>
        <w:tc>
          <w:tcPr>
            <w:tcW w:type="dxa" w:w="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3.</w:t>
            </w:r>
          </w:p>
        </w:tc>
        <w:tc>
          <w:tcPr>
            <w:tcW w:type="dxa" w:w="11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合同总额内容</w:t>
            </w:r>
          </w:p>
        </w:tc>
        <w:tc>
          <w:tcPr>
            <w:tcW w:type="dxa" w:w="65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合同总额为总价包干，包括但不限于以下全部费用：活动策划执行费用、交通费、住宿费、设计费用、制作费用、资源对接费用、活动组织费用及其他配套费用、各种税费、利润、不可预见费等完成本项目所需的一切费用。如出现任何遗漏内容需产生额外费用，均由乙方自行承担，甲方将不再另支付任何费用。</w:t>
            </w:r>
          </w:p>
        </w:tc>
      </w:tr>
      <w:tr>
        <w:tc>
          <w:tcPr>
            <w:tcW w:type="dxa" w:w="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4.</w:t>
            </w:r>
          </w:p>
        </w:tc>
        <w:tc>
          <w:tcPr>
            <w:tcW w:type="dxa" w:w="11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项目服务地点</w:t>
            </w:r>
          </w:p>
        </w:tc>
        <w:tc>
          <w:tcPr>
            <w:tcW w:type="dxa" w:w="65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甲方（用户）指定地点。</w:t>
            </w:r>
          </w:p>
        </w:tc>
      </w:tr>
      <w:tr>
        <w:tc>
          <w:tcPr>
            <w:tcW w:type="dxa" w:w="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5.</w:t>
            </w:r>
          </w:p>
        </w:tc>
        <w:tc>
          <w:tcPr>
            <w:tcW w:type="dxa" w:w="11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服务期</w:t>
            </w:r>
          </w:p>
        </w:tc>
        <w:tc>
          <w:tcPr>
            <w:tcW w:type="dxa" w:w="65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自合同签订之日至</w:t>
            </w:r>
            <w:r>
              <w:rPr>
                <w:sz w:val="21"/>
                <w:color w:val="000000"/>
              </w:rPr>
              <w:t>202</w:t>
            </w:r>
            <w:r>
              <w:rPr>
                <w:sz w:val="21"/>
                <w:color w:val="000000"/>
              </w:rPr>
              <w:t>6</w:t>
            </w:r>
            <w:r>
              <w:rPr>
                <w:sz w:val="21"/>
                <w:color w:val="000000"/>
              </w:rPr>
              <w:t>年</w:t>
            </w:r>
            <w:r>
              <w:rPr>
                <w:sz w:val="21"/>
                <w:color w:val="000000"/>
              </w:rPr>
              <w:t>12月1日前</w:t>
            </w:r>
          </w:p>
        </w:tc>
      </w:tr>
      <w:tr>
        <w:tc>
          <w:tcPr>
            <w:tcW w:type="dxa" w:w="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6.</w:t>
            </w:r>
          </w:p>
        </w:tc>
        <w:tc>
          <w:tcPr>
            <w:tcW w:type="dxa" w:w="11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合同签订方式及情况</w:t>
            </w:r>
          </w:p>
        </w:tc>
        <w:tc>
          <w:tcPr>
            <w:tcW w:type="dxa" w:w="65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一次性签订本项目采购合同。</w:t>
            </w:r>
          </w:p>
        </w:tc>
      </w:tr>
      <w:tr>
        <w:tc>
          <w:tcPr>
            <w:tcW w:type="dxa" w:w="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7.</w:t>
            </w:r>
          </w:p>
        </w:tc>
        <w:tc>
          <w:tcPr>
            <w:tcW w:type="dxa" w:w="11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付款方式</w:t>
            </w:r>
          </w:p>
        </w:tc>
        <w:tc>
          <w:tcPr>
            <w:tcW w:type="dxa" w:w="65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color w:val="000000"/>
              </w:rPr>
              <w:t>1期：支付比例60%,合同签订生效后，甲方在收到乙方提供的等额有效发票后1</w:t>
            </w:r>
            <w:r>
              <w:rPr>
                <w:sz w:val="21"/>
                <w:color w:val="000000"/>
              </w:rPr>
              <w:t>0</w:t>
            </w:r>
            <w:r>
              <w:rPr>
                <w:sz w:val="21"/>
                <w:color w:val="000000"/>
              </w:rPr>
              <w:t>个工作日内向乙方支付合同总额的</w:t>
            </w:r>
            <w:r>
              <w:rPr>
                <w:sz w:val="21"/>
                <w:color w:val="000000"/>
              </w:rPr>
              <w:t>60%（即各子项目成交金额的60%相加之和）。</w:t>
            </w:r>
          </w:p>
          <w:p>
            <w:pPr>
              <w:pStyle w:val="null3"/>
              <w:jc w:val="left"/>
            </w:pPr>
            <w:r>
              <w:rPr>
                <w:sz w:val="21"/>
                <w:color w:val="000000"/>
              </w:rPr>
              <w:t>2期：支付比例40%,乙方完成磋商文件要求的服务内容并经通过甲方验收合格后，甲方在收到乙方等额有效发票后1</w:t>
            </w:r>
            <w:r>
              <w:rPr>
                <w:sz w:val="21"/>
                <w:color w:val="000000"/>
              </w:rPr>
              <w:t>0</w:t>
            </w:r>
            <w:r>
              <w:rPr>
                <w:sz w:val="21"/>
                <w:color w:val="000000"/>
              </w:rPr>
              <w:t>个工作日内向乙方支付合同总额的</w:t>
            </w:r>
            <w:r>
              <w:rPr>
                <w:sz w:val="21"/>
                <w:color w:val="000000"/>
              </w:rPr>
              <w:t>40%（即各子项目中标金额的40%相加之和），如有个别子项目因不可抗力等原因导致无法执行，则相应扣减已支付的预付款再支付相应费用。 按合同支付款项前，乙方必须先向甲方提供有效发票，且收款方、出具发票方、合同乙方均必须与成交供应商名称一致，否则甲方有权顺延付款时间。</w:t>
            </w:r>
          </w:p>
        </w:tc>
      </w:tr>
      <w:tr>
        <w:tc>
          <w:tcPr>
            <w:tcW w:type="dxa" w:w="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8.</w:t>
            </w:r>
          </w:p>
        </w:tc>
        <w:tc>
          <w:tcPr>
            <w:tcW w:type="dxa" w:w="11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验收要求</w:t>
            </w:r>
          </w:p>
        </w:tc>
        <w:tc>
          <w:tcPr>
            <w:tcW w:type="dxa" w:w="65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w:t>
            </w:r>
            <w:r>
              <w:rPr>
                <w:sz w:val="21"/>
                <w:color w:val="000000"/>
              </w:rPr>
              <w:t>1）乙方必须承担验收过程中产生的一切费用。</w:t>
            </w:r>
          </w:p>
          <w:p>
            <w:pPr>
              <w:pStyle w:val="null3"/>
              <w:jc w:val="both"/>
            </w:pPr>
            <w:r>
              <w:rPr>
                <w:sz w:val="21"/>
                <w:color w:val="000000"/>
              </w:rPr>
              <w:t>（</w:t>
            </w:r>
            <w:r>
              <w:rPr>
                <w:sz w:val="21"/>
                <w:color w:val="000000"/>
              </w:rPr>
              <w:t>2）乙方提供的活动必须与甲方要求内容相符，按照甲方验收要求提交有关材料。</w:t>
            </w:r>
          </w:p>
          <w:p>
            <w:pPr>
              <w:pStyle w:val="null3"/>
              <w:jc w:val="left"/>
            </w:pPr>
            <w:r>
              <w:rPr>
                <w:sz w:val="21"/>
                <w:color w:val="000000"/>
              </w:rPr>
              <w:t>（</w:t>
            </w:r>
            <w:r>
              <w:rPr>
                <w:sz w:val="21"/>
                <w:color w:val="000000"/>
              </w:rPr>
              <w:t>3）验收标准：符合国家、广东省、佛山市相关规定和磋商文件要求，国家无明确验收标准的，按行业规范或通行做法验收。</w:t>
            </w:r>
          </w:p>
        </w:tc>
      </w:tr>
    </w:tbl>
    <w:p>
      <w:pPr>
        <w:pStyle w:val="null3"/>
        <w:jc w:val="both"/>
      </w:pPr>
      <w:r>
        <w:rPr>
          <w:sz w:val="21"/>
          <w:b/>
          <w:color w:val="000000"/>
        </w:rPr>
        <w:t>二、服务内容：</w:t>
      </w:r>
    </w:p>
    <w:p>
      <w:pPr>
        <w:pStyle w:val="null3"/>
        <w:ind w:firstLine="480"/>
        <w:jc w:val="both"/>
      </w:pPr>
      <w:r>
        <w:rPr/>
        <w:t>开展</w:t>
      </w:r>
      <w:r>
        <w:rPr/>
        <w:t>2026年“领航佛商”系列活动，引导广大佛商重振“敢饮头啖汤”的胆识与智慧，凝聚民营经济力量，助力“再造一个新佛山</w:t>
      </w:r>
      <w:r>
        <w:rPr>
          <w:sz w:val="21"/>
          <w:color w:val="000000"/>
        </w:rPr>
        <w:t>，</w:t>
      </w:r>
      <w:r>
        <w:rPr>
          <w:sz w:val="21"/>
          <w:color w:val="000000"/>
        </w:rPr>
        <w:t>202</w:t>
      </w:r>
      <w:r>
        <w:rPr>
          <w:sz w:val="21"/>
          <w:color w:val="000000"/>
        </w:rPr>
        <w:t>6</w:t>
      </w:r>
      <w:r>
        <w:rPr>
          <w:sz w:val="21"/>
          <w:color w:val="000000"/>
        </w:rPr>
        <w:t>年</w:t>
      </w:r>
      <w:r>
        <w:rPr>
          <w:sz w:val="21"/>
          <w:color w:val="000000"/>
        </w:rPr>
        <w:t>“领航佛商”系列活动</w:t>
      </w:r>
      <w:r>
        <w:rPr>
          <w:sz w:val="21"/>
          <w:color w:val="000000"/>
        </w:rPr>
        <w:t>主要包括</w:t>
      </w:r>
      <w:r>
        <w:rPr>
          <w:sz w:val="21"/>
          <w:color w:val="000000"/>
        </w:rPr>
        <w:t>：</w:t>
      </w:r>
    </w:p>
    <w:p>
      <w:pPr>
        <w:pStyle w:val="null3"/>
        <w:jc w:val="both"/>
      </w:pPr>
      <w:r>
        <w:rPr>
          <w:sz w:val="21"/>
          <w:color w:val="000000"/>
        </w:rPr>
        <w:t>1.</w:t>
      </w:r>
      <w:r>
        <w:rPr/>
        <w:t>综合智库建设及相关成果发布</w:t>
      </w:r>
      <w:r>
        <w:rPr>
          <w:sz w:val="21"/>
          <w:color w:val="000000"/>
        </w:rPr>
        <w:t>。</w:t>
      </w:r>
    </w:p>
    <w:p>
      <w:pPr>
        <w:pStyle w:val="null3"/>
        <w:jc w:val="both"/>
      </w:pPr>
      <w:r>
        <w:rPr>
          <w:sz w:val="21"/>
          <w:color w:val="000000"/>
        </w:rPr>
        <w:t>2.</w:t>
      </w:r>
      <w:r>
        <w:rPr/>
        <w:t>跨城对标调研学习活动</w:t>
      </w:r>
      <w:r>
        <w:rPr>
          <w:sz w:val="21"/>
          <w:color w:val="000000"/>
        </w:rPr>
        <w:t>。</w:t>
      </w:r>
    </w:p>
    <w:p>
      <w:pPr>
        <w:pStyle w:val="null3"/>
        <w:jc w:val="both"/>
      </w:pPr>
      <w:r>
        <w:rPr>
          <w:sz w:val="21"/>
          <w:color w:val="000000"/>
        </w:rPr>
        <w:t>3.</w:t>
      </w:r>
      <w:r>
        <w:rPr/>
        <w:t>“草灌乔林”企业赋能活动</w:t>
      </w:r>
      <w:r>
        <w:rPr>
          <w:sz w:val="21"/>
          <w:color w:val="000000"/>
        </w:rPr>
        <w:t>。</w:t>
      </w:r>
    </w:p>
    <w:p>
      <w:pPr>
        <w:pStyle w:val="null3"/>
        <w:jc w:val="both"/>
      </w:pPr>
      <w:r>
        <w:rPr>
          <w:sz w:val="21"/>
          <w:color w:val="000000"/>
        </w:rPr>
        <w:t>4.</w:t>
      </w:r>
      <w:r>
        <w:rPr/>
        <w:t>“佛山市企业家日”活动</w:t>
      </w:r>
      <w:r>
        <w:rPr>
          <w:sz w:val="21"/>
          <w:color w:val="000000"/>
        </w:rPr>
        <w:t>。</w:t>
      </w:r>
    </w:p>
    <w:p>
      <w:pPr>
        <w:pStyle w:val="null3"/>
        <w:jc w:val="both"/>
      </w:pPr>
      <w:r>
        <w:rPr>
          <w:sz w:val="21"/>
          <w:b/>
          <w:color w:val="000000"/>
        </w:rPr>
        <w:t>三、服务要求：</w:t>
      </w:r>
    </w:p>
    <w:p>
      <w:pPr>
        <w:pStyle w:val="null3"/>
        <w:jc w:val="both"/>
      </w:pPr>
      <w:r>
        <w:rPr/>
        <w:t>（</w:t>
      </w:r>
      <w:r>
        <w:rPr/>
        <w:t>一）</w:t>
      </w:r>
      <w:r>
        <w:rPr/>
        <w:t>综合智库建设及相关成果发布</w:t>
      </w:r>
    </w:p>
    <w:p>
      <w:pPr>
        <w:pStyle w:val="null3"/>
        <w:ind w:firstLine="400"/>
        <w:jc w:val="both"/>
      </w:pPr>
      <w:r>
        <w:rPr/>
        <w:t>聚合</w:t>
      </w:r>
      <w:r>
        <w:rPr/>
        <w:t>“政企学研媒”之力，充分利用专家、企业家、政府部门、高校、研究和赋能机构、媒体等资源，联动五区，建设综合型智库。</w:t>
      </w:r>
    </w:p>
    <w:p>
      <w:pPr>
        <w:pStyle w:val="null3"/>
        <w:jc w:val="both"/>
      </w:pPr>
      <w:r>
        <w:rPr/>
        <w:t>1.两大专题调研</w:t>
      </w:r>
    </w:p>
    <w:p>
      <w:pPr>
        <w:pStyle w:val="null3"/>
        <w:ind w:firstLine="400"/>
        <w:jc w:val="both"/>
      </w:pPr>
      <w:r>
        <w:rPr/>
        <w:t>围绕</w:t>
      </w:r>
      <w:r>
        <w:rPr/>
        <w:t>“佛山民营企业的品牌建设现状、问题及对策研究”“构建‘企业家+科学家+金融家’产业生态、服务‘智造强市’建设的路径研究”两大专题，分别邀请专家学者作为课题导师，深入开展调查研究，并形成2份调研成果（每份成果要求提供三种形式，即不少于1.5万字的完整版、不多于2500字的精简版、PPT图文演示版）。</w:t>
      </w:r>
    </w:p>
    <w:p>
      <w:pPr>
        <w:pStyle w:val="null3"/>
        <w:jc w:val="both"/>
      </w:pPr>
      <w:r>
        <w:rPr/>
        <w:t>2.两个专题片</w:t>
      </w:r>
    </w:p>
    <w:p>
      <w:pPr>
        <w:pStyle w:val="null3"/>
        <w:ind w:firstLine="400"/>
        <w:jc w:val="both"/>
      </w:pPr>
      <w:r>
        <w:rPr/>
        <w:t>两个共</w:t>
      </w:r>
      <w:r>
        <w:rPr/>
        <w:t>8分钟左右，含编导策划、导演、摄影、素材收集、灯光、剪辑、美术包装特效、专业调色、音乐音效、配音等。一是围绕“领航佛商”工作制作一个5分钟左右专题片，拟在2026年“佛山市企业家日”活动上播放；二是围绕“引导民营企业建立完善中国特色现代企业制度的佛山实践”制作一个3分钟左右专题片。</w:t>
      </w:r>
    </w:p>
    <w:p>
      <w:pPr>
        <w:pStyle w:val="null3"/>
        <w:jc w:val="both"/>
      </w:pPr>
      <w:r>
        <w:rPr/>
        <w:t>3.一份成果汇编及发布</w:t>
      </w:r>
    </w:p>
    <w:p>
      <w:pPr>
        <w:pStyle w:val="null3"/>
        <w:ind w:firstLine="400"/>
        <w:jc w:val="both"/>
      </w:pPr>
      <w:r>
        <w:rPr/>
        <w:t>整合企业家日前后相关活动情况及年度成果（包括专家导师观点、两大专题调研、跨城对标调研学习、</w:t>
      </w:r>
      <w:r>
        <w:rPr/>
        <w:t>“草灌乔林”企业赋能活动、佛山民营经济相关动态，等等），并汇编成册，字数不少于12万字。制作2000本，广泛分发至民营企业家，同时加强宣传推广。</w:t>
      </w:r>
    </w:p>
    <w:p>
      <w:pPr>
        <w:pStyle w:val="null3"/>
        <w:jc w:val="both"/>
      </w:pPr>
      <w:r>
        <w:rPr/>
        <w:t>（二）跨城对标调研学习活动</w:t>
      </w:r>
    </w:p>
    <w:p>
      <w:pPr>
        <w:pStyle w:val="null3"/>
        <w:ind w:firstLine="400"/>
        <w:jc w:val="both"/>
      </w:pPr>
      <w:r>
        <w:rPr/>
        <w:t>“跳出佛山，看佛山，见未来”。对标先进，是助力民营企业突破发展瓶颈、实现战略升级的重要路径。2026年市工商联将精心组织专家、企业家和商协会代表、市和区工商联机关人员，奔赴对标城市对当地工商联、全国“四好商会”、骨干企业、新质生产力代表企业等进行调研学习并开展复盘，参加人员对所见所闻进行深度思考和思想碰撞，专家导师进行观点提炼、思想引导。每场需结合佛山实际形成2份成果（每份不少于1500字），为佛山民营经济健康发展、高质量发展提供路径参考。</w:t>
      </w:r>
    </w:p>
    <w:p>
      <w:pPr>
        <w:pStyle w:val="null3"/>
        <w:ind w:firstLine="400"/>
        <w:jc w:val="both"/>
      </w:pPr>
      <w:r>
        <w:rPr/>
        <w:t>分两场：一场聚焦国家战略纵深，走进西部成都、重庆两大国家级中心城市，学习其把握宏观战略机遇、构建内陆开放高地的顶层设计与产业生态；一场对标产业转型先锋，走进长三角宁波、常州两座民营经济强市，借鉴其培育新质生产力、创新打造产业集群的先进经验。每场均为</w:t>
      </w:r>
      <w:r>
        <w:rPr/>
        <w:t>5天4晚，团组25人左右，分别邀请专家学者作为带队导师，包括专家导师团队5人、企业家和商协会代表13人，以及市和区工商联机关人员（机关人员差旅费从各自机关经费中另行列支）。</w:t>
      </w:r>
    </w:p>
    <w:p>
      <w:pPr>
        <w:pStyle w:val="null3"/>
        <w:jc w:val="both"/>
      </w:pPr>
      <w:r>
        <w:rPr/>
        <w:t>（</w:t>
      </w:r>
      <w:r>
        <w:rPr/>
        <w:t>三）</w:t>
      </w:r>
      <w:r>
        <w:rPr/>
        <w:t>“草灌乔林”企业赋能活动</w:t>
      </w:r>
    </w:p>
    <w:p>
      <w:pPr>
        <w:pStyle w:val="null3"/>
        <w:ind w:firstLine="400"/>
        <w:jc w:val="both"/>
      </w:pPr>
      <w:r>
        <w:rPr/>
        <w:t>联动高校资源，围绕</w:t>
      </w:r>
      <w:r>
        <w:rPr/>
        <w:t>“政产学研金服用”，重点组织智能家居、电子信息、机器人等3个产业领域企业开展3场赋能活动，每场规模不少于100人，依托高校人才、技术、智力优势，打通“技术研发-成果转化-市场应用”全链条，助力构建“企业家+科学家+金融家”产业生态，促进创新链、资金链、人才链有机衔接，助力产业“三箭齐发”。</w:t>
      </w:r>
    </w:p>
    <w:p>
      <w:pPr>
        <w:pStyle w:val="null3"/>
        <w:ind w:firstLine="400"/>
        <w:jc w:val="both"/>
      </w:pPr>
      <w:r>
        <w:rPr/>
        <w:t>1.智能家居产业协同创新专场。推动人工智能、物联网等技术与家居场景深度融合，围绕全屋智能、健康家电、适老化改造等方向，促进产业智能升级、市场能力提升和供应链协同。一是AI赋能设计、生产、产品、管理、营销、服务：将AI智慧内核嵌入家居单品与全屋生态，引导企业瞄准新质生产力，实现人、设备、空间互联互通，让家居从“被动使用”为“主动服务”，实现全链条智能化。二是商业模式创新与市场营销升级：顺应数字经济与智能消费新趋势，引导企业从卖产品到卖服务，打破传统营销路径依赖，融入GEO数字营销，构建线上线下融合、高效转化的全域营销体系，同时推广装配式装修。三是商会联动：组织市家居产业联合会、市智能家居产业协会、市人工智能与智能机器人产业联盟、市银发经济发展促进会、市进出口商会、市科技金融协会六大商会（主体），开展头脑风暴、资源对接、跨界协同。</w:t>
      </w:r>
    </w:p>
    <w:p>
      <w:pPr>
        <w:pStyle w:val="null3"/>
        <w:ind w:firstLine="400"/>
        <w:jc w:val="both"/>
      </w:pPr>
      <w:r>
        <w:rPr/>
        <w:t>2.电子信息产业技术攻关专场。聚焦集成电路、新型显示、智能传感器、通信设备等细分赛道，链接高校基础研究与产业应用，促进政产学研，推动协同创新。一是趋势展望:邀请行业专家、领军企业家分析电子信息产业技术发展趋势与市场机遇（如AI芯片、汽车电子、卫星互联网等）。二是创新驱动:深化政产学研，引导企业以技术创新提升产品附加值和核心竞争力。三是产业协同:组织产业链关键环节核心企业沙龙，推动上下游携手共进、抱团发展。</w:t>
      </w:r>
    </w:p>
    <w:p>
      <w:pPr>
        <w:pStyle w:val="null3"/>
        <w:ind w:firstLine="400"/>
        <w:jc w:val="both"/>
      </w:pPr>
      <w:r>
        <w:rPr/>
        <w:t>3.机器人产业生态共建专场。紧跟人工智能与机器人深度融合发展趋势，因地制宜发展工业机器人、服务机器人、特种机器人和具身机器人，引导企业构建B端与C端并举、传统与新兴协同的产品体系。一是人工智能强基:支持数字化转型服务商聚焦智能机器人智能系统、垂类模型、智能软件等领域，邀请行业领军科学家、数字化转型服务商代表作分享。二是金融服务:联动佛山新动能产业基金体系、金融机构、保险机构，为机器人产业做好金融服务，激发企业科技创新内生动力，支持领军企业上市融资，推动形成“科技—产业—金融”良性循环。三是人才引育:链接高校资源，深化产教融合、校企合作，帮助企业引进“制造业+数字技术”技能人才以及工业小模型、工业数据采集和标注等急需紧缺人才。</w:t>
      </w:r>
    </w:p>
    <w:p>
      <w:pPr>
        <w:pStyle w:val="null3"/>
        <w:jc w:val="both"/>
      </w:pPr>
      <w:r>
        <w:rPr/>
        <w:t>（</w:t>
      </w:r>
      <w:r>
        <w:rPr/>
        <w:t>四）</w:t>
      </w:r>
      <w:r>
        <w:rPr/>
        <w:t>“佛山市企业家日”活动</w:t>
      </w:r>
    </w:p>
    <w:p>
      <w:pPr>
        <w:pStyle w:val="null3"/>
        <w:ind w:firstLine="420"/>
        <w:jc w:val="both"/>
      </w:pPr>
      <w:r>
        <w:rPr/>
        <w:t>按照市委市政府有关要求，会同市委组织部等部门在佛山第五个</w:t>
      </w:r>
      <w:r>
        <w:rPr/>
        <w:t>“佛山</w:t>
      </w:r>
      <w:r>
        <w:rPr/>
        <w:t>市</w:t>
      </w:r>
      <w:r>
        <w:rPr/>
        <w:t>企业家日</w:t>
      </w:r>
      <w:r>
        <w:rPr/>
        <w:t>、人才日</w:t>
      </w:r>
      <w:r>
        <w:rPr/>
        <w:t>”期间</w:t>
      </w:r>
      <w:r>
        <w:rPr/>
        <w:t>联合举办系列活动，以一座城市的名义向企业家和人才致以最崇高的敬意，传递出尊商重才的强烈信号。并邀请专家学者、企业家作主旨演讲，发布相关调研成果，为佛山民营企业家</w:t>
      </w:r>
      <w:r>
        <w:rPr/>
        <w:t>“传经送宝”，共话佛山高质量发展</w:t>
      </w:r>
      <w:r>
        <w:rPr>
          <w:sz w:val="21"/>
          <w:color w:val="000000"/>
        </w:rPr>
        <w:t>。</w:t>
      </w:r>
    </w:p>
    <w:p>
      <w:pPr>
        <w:pStyle w:val="null3"/>
        <w:jc w:val="both"/>
      </w:pPr>
      <w:r>
        <w:rPr>
          <w:sz w:val="21"/>
          <w:b/>
          <w:color w:val="000000"/>
        </w:rPr>
        <w:t>四、人员配置要求：</w:t>
      </w:r>
    </w:p>
    <w:p>
      <w:pPr>
        <w:pStyle w:val="null3"/>
        <w:ind w:firstLine="444"/>
        <w:jc w:val="both"/>
      </w:pPr>
      <w:r>
        <w:rPr>
          <w:sz w:val="21"/>
          <w:color w:val="000000"/>
        </w:rPr>
        <w:t>1.乙方应具有专业的团队人员，提供的团队人员具有同类项目经验，并认真完成项目服务内容任务。</w:t>
      </w:r>
    </w:p>
    <w:p>
      <w:pPr>
        <w:pStyle w:val="null3"/>
        <w:ind w:firstLine="444"/>
        <w:jc w:val="both"/>
      </w:pPr>
      <w:r>
        <w:rPr>
          <w:sz w:val="21"/>
          <w:color w:val="000000"/>
        </w:rPr>
        <w:t>2.在项目服务过程中，乙方应积极与甲方进行沟通反馈，提出专业性建议供甲方参考，制定专项服务保障方案，并实时根据甲方的要求跟进完成相关工作。</w:t>
      </w:r>
    </w:p>
    <w:p>
      <w:pPr>
        <w:pStyle w:val="null3"/>
        <w:ind w:firstLine="420"/>
        <w:jc w:val="left"/>
      </w:pPr>
      <w:r>
        <w:rPr>
          <w:sz w:val="21"/>
          <w:color w:val="000000"/>
        </w:rPr>
        <w:t>3.乙方须按其响应文件中承诺提供的项目团队人员必须按要求投入到本项目中，在合同期内不得擅自更换。乙方如因工作安排或其它原因，需要更换项目团队人员时，应事前向甲方提出书面申请，未经甲方同意，不得更换人员。</w:t>
      </w:r>
    </w:p>
    <w:p>
      <w:pPr>
        <w:pStyle w:val="null3"/>
        <w:ind w:firstLine="420"/>
        <w:jc w:val="left"/>
      </w:pPr>
      <w:r>
        <w:rPr>
          <w:sz w:val="21"/>
          <w:color w:val="000000"/>
        </w:rPr>
        <w:t>4.甲方有权以书面形式要求乙方更换不能按规定履行合同的人员。即使是甲方要求或同意更换的人员，其代替人员的资质仍应得到甲方的认可，且其资历和经验均不低于被更换人员。由此而产生的费用由乙方承担。</w:t>
      </w:r>
    </w:p>
    <w:p>
      <w:pPr>
        <w:pStyle w:val="null3"/>
        <w:ind w:firstLine="420"/>
        <w:jc w:val="both"/>
      </w:pPr>
      <w:r>
        <w:rPr>
          <w:sz w:val="21"/>
          <w:color w:val="000000"/>
        </w:rPr>
        <w:t>5.如乙方未经甲方书面同意擅自更换项目团队人员，甲方有权扣除乙方一定的违约金</w:t>
      </w:r>
      <w:r>
        <w:rPr>
          <w:sz w:val="21"/>
          <w:color w:val="000000"/>
        </w:rPr>
        <w:t>，</w:t>
      </w:r>
      <w:r>
        <w:rPr>
          <w:sz w:val="21"/>
          <w:color w:val="000000"/>
        </w:rPr>
        <w:t>如乙方未经甲方书面同意擅自更换项目团队人员，每发生一次，甲方有权扣除合同总金额</w:t>
      </w:r>
      <w:r>
        <w:rPr>
          <w:sz w:val="21"/>
          <w:color w:val="000000"/>
        </w:rPr>
        <w:t>3%的违约金。发生本条上述情况累计达4次后，甲方有权终止合同，由此引致的经济损失，乙方须全额赔偿，甲方保留追究乙方相关责任的权利。</w:t>
      </w:r>
    </w:p>
    <w:p>
      <w:pPr>
        <w:pStyle w:val="null3"/>
        <w:jc w:val="both"/>
      </w:pPr>
      <w:r>
        <w:rPr>
          <w:sz w:val="21"/>
          <w:color w:val="000000"/>
        </w:rPr>
        <w:t xml:space="preserve">     </w:t>
      </w:r>
      <w:r>
        <w:rPr>
          <w:sz w:val="21"/>
          <w:color w:val="000000"/>
        </w:rPr>
        <w:t>6.对于乙方因工作原因为甲方服务期间引起的各种工伤、安全事件和事故，甲方免负一切责任。</w:t>
      </w:r>
    </w:p>
    <w:p>
      <w:pPr>
        <w:pStyle w:val="null3"/>
        <w:jc w:val="both"/>
      </w:pPr>
      <w:r>
        <w:rPr>
          <w:sz w:val="21"/>
          <w:b/>
          <w:color w:val="000000"/>
        </w:rPr>
        <w:t>五、活动组织要求：</w:t>
      </w:r>
    </w:p>
    <w:p>
      <w:pPr>
        <w:pStyle w:val="null3"/>
        <w:ind w:firstLine="444"/>
        <w:jc w:val="both"/>
      </w:pPr>
      <w:r>
        <w:rPr>
          <w:sz w:val="21"/>
          <w:color w:val="000000"/>
        </w:rPr>
        <w:t>1.乙方须为本项目的提供包括提供各阶段所需活动场所和设备设施、物料制作、布置搭建、现场引导、人力资源保障等，拟提供的活动场所需符合甲方的要求和项目特点，并经甲方同意。</w:t>
      </w:r>
    </w:p>
    <w:p>
      <w:pPr>
        <w:pStyle w:val="null3"/>
        <w:jc w:val="both"/>
      </w:pPr>
      <w:r>
        <w:rPr>
          <w:sz w:val="21"/>
          <w:color w:val="000000"/>
        </w:rPr>
        <w:t xml:space="preserve">     </w:t>
      </w:r>
      <w:r>
        <w:rPr>
          <w:sz w:val="21"/>
          <w:color w:val="000000"/>
        </w:rPr>
        <w:t>2.负责活动期间食宿交通保障服务，确保各项活动顺利进行。</w:t>
      </w:r>
    </w:p>
    <w:p>
      <w:pPr>
        <w:pStyle w:val="null3"/>
        <w:jc w:val="both"/>
      </w:pPr>
      <w:r>
        <w:rPr>
          <w:sz w:val="21"/>
          <w:b/>
          <w:color w:val="000000"/>
        </w:rPr>
        <w:t>六、服务响应要求：</w:t>
      </w:r>
    </w:p>
    <w:p>
      <w:pPr>
        <w:pStyle w:val="null3"/>
        <w:ind w:firstLine="420"/>
        <w:jc w:val="left"/>
      </w:pPr>
      <w:r>
        <w:rPr>
          <w:sz w:val="21"/>
          <w:color w:val="000000"/>
        </w:rPr>
        <w:t>1.服务期内，乙方须提供常设每周7天×24小时服务专线技术支持。</w:t>
      </w:r>
    </w:p>
    <w:p>
      <w:pPr>
        <w:pStyle w:val="null3"/>
        <w:jc w:val="both"/>
      </w:pPr>
      <w:r>
        <w:rPr>
          <w:sz w:val="21"/>
          <w:color w:val="000000"/>
        </w:rPr>
        <w:t xml:space="preserve">    </w:t>
      </w:r>
      <w:r>
        <w:rPr>
          <w:sz w:val="21"/>
          <w:color w:val="000000"/>
        </w:rPr>
        <w:t>2.对甲方的服务通知，乙方必须在接报后1小时内响应，4小时内到达现场，24小时内处理完毕。</w:t>
      </w:r>
    </w:p>
    <w:p>
      <w:pPr>
        <w:pStyle w:val="null3"/>
        <w:jc w:val="both"/>
      </w:pPr>
      <w:r>
        <w:rPr>
          <w:sz w:val="21"/>
          <w:b/>
          <w:color w:val="000000"/>
        </w:rPr>
        <w:t>七、投诉跟踪服务要求：</w:t>
      </w:r>
    </w:p>
    <w:p>
      <w:pPr>
        <w:pStyle w:val="null3"/>
        <w:jc w:val="both"/>
      </w:pPr>
      <w:r>
        <w:rPr>
          <w:sz w:val="21"/>
          <w:color w:val="000000"/>
        </w:rPr>
        <w:t>1、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pPr>
        <w:pStyle w:val="null3"/>
        <w:jc w:val="both"/>
      </w:pPr>
      <w:r>
        <w:rPr>
          <w:sz w:val="21"/>
          <w:color w:val="000000"/>
        </w:rPr>
        <w:t>2、服务期内，甲方有权按本项目的管理要求对乙方进行不定期抽查检查，若对不合格的管理服务提出警告后，仍未得到有效解决时，甲方有权终止管理合同。</w:t>
      </w:r>
    </w:p>
    <w:p>
      <w:pPr>
        <w:pStyle w:val="null3"/>
        <w:jc w:val="both"/>
      </w:pPr>
      <w:r>
        <w:rPr>
          <w:sz w:val="21"/>
          <w:color w:val="000000"/>
        </w:rPr>
        <w:t>3、乙方服务机构名称及地址：</w:t>
      </w:r>
      <w:r>
        <w:rPr/>
        <w:t xml:space="preserve"> </w:t>
      </w:r>
    </w:p>
    <w:p>
      <w:pPr>
        <w:pStyle w:val="null3"/>
        <w:ind w:firstLine="420"/>
        <w:jc w:val="both"/>
      </w:pPr>
      <w:r>
        <w:rPr>
          <w:sz w:val="21"/>
          <w:color w:val="000000"/>
        </w:rPr>
        <w:t>联系人</w:t>
      </w:r>
      <w:r>
        <w:rPr>
          <w:sz w:val="21"/>
          <w:color w:val="000000"/>
        </w:rPr>
        <w:t>1：          ，联系电话：            ，手机：          ；</w:t>
      </w:r>
    </w:p>
    <w:p>
      <w:pPr>
        <w:pStyle w:val="null3"/>
        <w:ind w:firstLine="420"/>
        <w:jc w:val="both"/>
      </w:pPr>
      <w:r>
        <w:rPr>
          <w:sz w:val="21"/>
          <w:color w:val="000000"/>
        </w:rPr>
        <w:t>联系人</w:t>
      </w:r>
      <w:r>
        <w:rPr>
          <w:sz w:val="21"/>
          <w:color w:val="000000"/>
        </w:rPr>
        <w:t>2：          ，联系电话：            ，手机：          ；</w:t>
      </w:r>
    </w:p>
    <w:p>
      <w:pPr>
        <w:pStyle w:val="null3"/>
        <w:ind w:firstLine="420"/>
        <w:jc w:val="both"/>
      </w:pPr>
      <w:r>
        <w:rPr>
          <w:sz w:val="21"/>
          <w:color w:val="000000"/>
        </w:rPr>
        <w:t>服务专线电话：</w:t>
      </w:r>
    </w:p>
    <w:p>
      <w:pPr>
        <w:pStyle w:val="null3"/>
        <w:jc w:val="both"/>
      </w:pPr>
      <w:r>
        <w:rPr>
          <w:sz w:val="21"/>
          <w:b/>
          <w:color w:val="000000"/>
        </w:rPr>
        <w:t>八、知识产权和保密要求：</w:t>
      </w:r>
    </w:p>
    <w:p>
      <w:pPr>
        <w:pStyle w:val="null3"/>
        <w:jc w:val="both"/>
      </w:pPr>
      <w:r>
        <w:rPr>
          <w:sz w:val="21"/>
          <w:color w:val="000000"/>
        </w:rPr>
        <w:t>1、知识产权及专利权</w:t>
      </w:r>
    </w:p>
    <w:p>
      <w:pPr>
        <w:pStyle w:val="null3"/>
        <w:ind w:firstLine="420"/>
        <w:jc w:val="left"/>
      </w:pPr>
      <w:r>
        <w:rPr>
          <w:sz w:val="21"/>
          <w:color w:val="000000"/>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无论发生何种情形（包括但不限于合同提前终止或解除），乙方为完成本项目提交的所有工作成果（包括但不限于调研成果、专题片、成果汇编等）及甲方引用该成果完成的新成果，知识产权均归甲方所有，甲方可依法享有就该项技术成果取得的精神权利、经济权利和其他权利。</w:t>
      </w:r>
    </w:p>
    <w:p>
      <w:pPr>
        <w:pStyle w:val="null3"/>
        <w:jc w:val="both"/>
      </w:pPr>
      <w:r>
        <w:rPr>
          <w:sz w:val="21"/>
          <w:color w:val="000000"/>
        </w:rPr>
        <w:t>2、保密要求</w:t>
      </w:r>
    </w:p>
    <w:p>
      <w:pPr>
        <w:pStyle w:val="null3"/>
        <w:ind w:firstLine="420"/>
        <w:jc w:val="left"/>
      </w:pPr>
      <w:r>
        <w:rPr>
          <w:sz w:val="21"/>
          <w:color w:val="000000"/>
        </w:rPr>
        <w:t>乙方必须如约承担合同履行时所应该尽的一切保密义务。乙方及其参与本项目的所有工作人员均须对甲方信息、项目实施过程中的资料、数据进行保密，未经甲方书面同意不得泄露给第三方，否则，甲方保留追究乙方法律责任的权利。保密责任不因合同的中止或解除而失效。</w:t>
      </w:r>
    </w:p>
    <w:p>
      <w:pPr>
        <w:pStyle w:val="null3"/>
        <w:ind w:firstLine="420"/>
        <w:jc w:val="left"/>
      </w:pPr>
      <w:r>
        <w:rPr>
          <w:sz w:val="21"/>
          <w:color w:val="000000"/>
        </w:rPr>
        <w:t>与本项目有关甲方的信息、项目实施过程中的资料、数据等所有资料（包括但不限于文字、图片、声像资料、电子数据等）均属甲方所有，乙方及其参与本项目的所有工作人员在本合同有效期内或合同终止后，不得泄露，也不得超越本项目实施范围使用，乙方及其参与本项目的所有工作人员依据本合同所完成的技术成果，其知识产权属甲方所有。</w:t>
      </w:r>
    </w:p>
    <w:p>
      <w:pPr>
        <w:pStyle w:val="null3"/>
        <w:jc w:val="both"/>
      </w:pPr>
      <w:r>
        <w:rPr>
          <w:sz w:val="21"/>
          <w:b/>
          <w:color w:val="000000"/>
        </w:rPr>
        <w:t>九、违约责任：</w:t>
      </w:r>
    </w:p>
    <w:p>
      <w:pPr>
        <w:pStyle w:val="null3"/>
        <w:jc w:val="both"/>
      </w:pPr>
      <w:r>
        <w:rPr>
          <w:sz w:val="21"/>
          <w:color w:val="000000"/>
        </w:rPr>
        <w:t>1、乙方所提供的服务未符合本合同规定或未按要求履行合同义务时，甲方有权拒绝验收，乙方在得到甲方通知之日起2个工作日内采取补救措施，逾期仍未采取有效措施的，甲方有权要求乙方赔偿因此造成的损失，同时乙方应向甲方支付合同总额30%的违约金。</w:t>
      </w:r>
    </w:p>
    <w:p>
      <w:pPr>
        <w:pStyle w:val="null3"/>
        <w:jc w:val="both"/>
      </w:pPr>
      <w:r>
        <w:rPr>
          <w:sz w:val="21"/>
          <w:color w:val="000000"/>
        </w:rPr>
        <w:t>2、乙方无正当理由逾期交付的，须从逾期之日起每日按合同总额的2‰比例向甲方支付违约金；逾期15日以上时，甲方有权终止合同，由此造成甲方的经济损失由乙方承担。违约金不足以弥补损失的，乙方应按实际损失全额赔偿。</w:t>
      </w:r>
    </w:p>
    <w:p>
      <w:pPr>
        <w:pStyle w:val="null3"/>
        <w:jc w:val="both"/>
      </w:pPr>
      <w:r>
        <w:rPr>
          <w:sz w:val="21"/>
          <w:color w:val="000000"/>
        </w:rPr>
        <w:t>3、乙方违反本项目磋商文件服务要求，未取得分支机构营业执照或法律、行政法规规定的有效证明文件便与甲方签订本合同的，或甲方发现乙方提供虚假材料谋取成交的，甲方发现后有权终止本合同，并追究乙方的违约责任，合同还未履行的，乙方需按合同总额的30%支付违约金，合同已经履行的，甲方有权不予支付合同项下的相关款项，且双方所产生损失均由乙方负责，乙方出现上述情形的，甲方还需上报政府采购监管部门。违约金不足以弥补损失的，乙方应按全额赔偿。</w:t>
      </w:r>
    </w:p>
    <w:p>
      <w:pPr>
        <w:pStyle w:val="null3"/>
        <w:jc w:val="both"/>
      </w:pPr>
      <w:r>
        <w:rPr>
          <w:sz w:val="21"/>
          <w:color w:val="000000"/>
        </w:rPr>
        <w:t>4、甲方未按要求履行合同义务时，或无正当理由拒绝验收、拖延付款时，甲方须向乙方支付滞纳金，标准为每日按违约总额的2‰累计。</w:t>
      </w:r>
    </w:p>
    <w:p>
      <w:pPr>
        <w:pStyle w:val="null3"/>
        <w:jc w:val="both"/>
      </w:pPr>
      <w:r>
        <w:rPr>
          <w:sz w:val="21"/>
          <w:b/>
          <w:color w:val="000000"/>
        </w:rPr>
        <w:t>十、提出异议的时间和方法：</w:t>
      </w:r>
    </w:p>
    <w:p>
      <w:pPr>
        <w:pStyle w:val="null3"/>
        <w:jc w:val="both"/>
      </w:pPr>
      <w:r>
        <w:rPr>
          <w:sz w:val="21"/>
          <w:color w:val="000000"/>
        </w:rPr>
        <w:t>1、甲方有异议时，应</w:t>
      </w:r>
      <w:r>
        <w:rPr>
          <w:sz w:val="21"/>
          <w:color w:val="000000"/>
          <w:u w:val="single"/>
        </w:rPr>
        <w:t>5</w:t>
      </w:r>
      <w:r>
        <w:rPr>
          <w:sz w:val="21"/>
          <w:color w:val="000000"/>
        </w:rPr>
        <w:t>天内向乙方提出书面异议。</w:t>
      </w:r>
    </w:p>
    <w:p>
      <w:pPr>
        <w:pStyle w:val="null3"/>
        <w:jc w:val="both"/>
      </w:pPr>
      <w:r>
        <w:rPr>
          <w:sz w:val="21"/>
          <w:color w:val="000000"/>
        </w:rPr>
        <w:t>2、乙方在接到甲方书面异议后，应在3天内负责处理并函复甲方处理情况，否则，即视为默认甲方提出的异议和处理意见。</w:t>
      </w:r>
    </w:p>
    <w:p>
      <w:pPr>
        <w:pStyle w:val="null3"/>
        <w:jc w:val="both"/>
      </w:pPr>
      <w:r>
        <w:rPr>
          <w:sz w:val="21"/>
          <w:color w:val="000000"/>
        </w:rPr>
        <w:t>3、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pPr>
        <w:pStyle w:val="null3"/>
        <w:jc w:val="both"/>
      </w:pPr>
      <w:r>
        <w:rPr>
          <w:sz w:val="21"/>
          <w:b/>
          <w:color w:val="000000"/>
        </w:rPr>
        <w:t>十一、争议的解决：</w:t>
      </w:r>
    </w:p>
    <w:p>
      <w:pPr>
        <w:pStyle w:val="null3"/>
        <w:jc w:val="both"/>
      </w:pPr>
      <w:r>
        <w:rPr>
          <w:sz w:val="21"/>
          <w:color w:val="000000"/>
        </w:rPr>
        <w:t>1、合同履行过程中发生的任何争议，如双方未能通过友好协商解决，应向佛山市有管辖权的人民法院提起诉讼。</w:t>
      </w:r>
    </w:p>
    <w:p>
      <w:pPr>
        <w:pStyle w:val="null3"/>
        <w:jc w:val="both"/>
      </w:pPr>
      <w:r>
        <w:rPr>
          <w:sz w:val="21"/>
          <w:color w:val="000000"/>
        </w:rPr>
        <w:t>2、法院审理期间，除提交法院审理的事项外，其它无争议的事项和条款仍应继续履行。</w:t>
      </w:r>
    </w:p>
    <w:p>
      <w:pPr>
        <w:pStyle w:val="null3"/>
        <w:jc w:val="both"/>
      </w:pPr>
      <w:r>
        <w:rPr>
          <w:sz w:val="21"/>
          <w:b/>
          <w:color w:val="000000"/>
        </w:rPr>
        <w:t>十二、不可抗力：</w:t>
      </w:r>
    </w:p>
    <w:p>
      <w:pPr>
        <w:pStyle w:val="null3"/>
        <w:ind w:firstLine="420"/>
        <w:jc w:val="both"/>
      </w:pPr>
      <w:r>
        <w:rPr>
          <w:sz w:val="21"/>
          <w:color w:val="000000"/>
        </w:rPr>
        <w:t>任何一方由于不可抗力原因不能履行合同时，应在不可抗力事件结束后</w:t>
      </w:r>
      <w:r>
        <w:rPr>
          <w:sz w:val="21"/>
          <w:color w:val="000000"/>
        </w:rPr>
        <w:t>48小时内向对方通报，以减轻可能给对方造成的损失，在取得有关机构的不可抗力证明或双方谅解确认后，允许延期履行或修订合同，并根据情况可部分或全部免于承担违约责任。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color w:val="000000"/>
        </w:rPr>
        <w:t>十三、税费：</w:t>
      </w:r>
    </w:p>
    <w:p>
      <w:pPr>
        <w:pStyle w:val="null3"/>
        <w:jc w:val="both"/>
      </w:pPr>
      <w:r>
        <w:rPr>
          <w:sz w:val="21"/>
          <w:color w:val="000000"/>
        </w:rPr>
        <w:t>1、本合同实施过程中所发生的一切税费及不可预见费均由乙方承担。</w:t>
      </w:r>
    </w:p>
    <w:p>
      <w:pPr>
        <w:pStyle w:val="null3"/>
        <w:jc w:val="both"/>
      </w:pPr>
      <w:r>
        <w:rPr>
          <w:sz w:val="21"/>
          <w:color w:val="000000"/>
        </w:rPr>
        <w:t>2、乙方依照税务规章优先在合同履约地开具发票及纳税，咨询：0757-12366。</w:t>
      </w:r>
    </w:p>
    <w:p>
      <w:pPr>
        <w:pStyle w:val="null3"/>
        <w:jc w:val="both"/>
      </w:pPr>
      <w:r>
        <w:rPr>
          <w:sz w:val="21"/>
          <w:b/>
          <w:color w:val="000000"/>
        </w:rPr>
        <w:t>十四、合同生效与合同备案：</w:t>
      </w:r>
    </w:p>
    <w:p>
      <w:pPr>
        <w:pStyle w:val="null3"/>
        <w:jc w:val="both"/>
      </w:pPr>
      <w:r>
        <w:rPr>
          <w:sz w:val="21"/>
          <w:color w:val="000000"/>
        </w:rPr>
        <w:t>1、本合同在甲乙双方法人代表或其授权代表签字盖章后生效。</w:t>
      </w:r>
    </w:p>
    <w:p>
      <w:pPr>
        <w:pStyle w:val="null3"/>
        <w:jc w:val="both"/>
      </w:pPr>
      <w:r>
        <w:rPr>
          <w:sz w:val="21"/>
          <w:color w:val="000000"/>
        </w:rPr>
        <w:t>2、自采购合同签订之日起7个工作日内，由甲方按照有关规定将采购合同副本报同级人民政府财政部门（政府采购管理部门）备案。</w:t>
      </w:r>
    </w:p>
    <w:p>
      <w:pPr>
        <w:pStyle w:val="null3"/>
        <w:jc w:val="both"/>
      </w:pPr>
      <w:r>
        <w:rPr>
          <w:sz w:val="21"/>
          <w:b/>
          <w:color w:val="000000"/>
        </w:rPr>
        <w:t>十五、乙方应提供的资料内容：</w:t>
      </w:r>
    </w:p>
    <w:p>
      <w:pPr>
        <w:pStyle w:val="null3"/>
        <w:jc w:val="both"/>
      </w:pPr>
      <w:r>
        <w:rPr>
          <w:u w:val="single"/>
        </w:rPr>
        <w:t xml:space="preserve">                                                            </w:t>
      </w:r>
      <w:r>
        <w:rPr>
          <w:sz w:val="21"/>
          <w:color w:val="000000"/>
        </w:rPr>
        <w:t>。</w:t>
      </w:r>
    </w:p>
    <w:p>
      <w:pPr>
        <w:pStyle w:val="null3"/>
        <w:jc w:val="both"/>
      </w:pPr>
      <w:r>
        <w:rPr>
          <w:sz w:val="21"/>
          <w:b/>
          <w:color w:val="000000"/>
        </w:rPr>
        <w:t>十六、关于政府采购合同融资</w:t>
      </w:r>
    </w:p>
    <w:p>
      <w:pPr>
        <w:pStyle w:val="null3"/>
        <w:jc w:val="both"/>
      </w:pPr>
      <w:r>
        <w:rPr>
          <w:sz w:val="21"/>
          <w:color w:val="000000"/>
        </w:rPr>
        <w:t>1、乙方是否已申请政府采购合同融资：</w:t>
      </w:r>
      <w:r>
        <w:rPr>
          <w:sz w:val="21"/>
          <w:color w:val="000000"/>
          <w:u w:val="single"/>
        </w:rPr>
        <w:t xml:space="preserve">  </w:t>
      </w:r>
      <w:r>
        <w:rPr>
          <w:sz w:val="21"/>
          <w:color w:val="000000"/>
          <w:u w:val="single"/>
        </w:rPr>
        <w:t>是</w:t>
      </w:r>
      <w:r>
        <w:rPr>
          <w:sz w:val="21"/>
          <w:color w:val="000000"/>
          <w:u w:val="single"/>
        </w:rPr>
        <w:t xml:space="preserve">/否  </w:t>
      </w:r>
      <w:r>
        <w:rPr>
          <w:sz w:val="21"/>
          <w:color w:val="000000"/>
        </w:rPr>
        <w:t>；</w:t>
      </w:r>
    </w:p>
    <w:p>
      <w:pPr>
        <w:pStyle w:val="null3"/>
        <w:jc w:val="both"/>
      </w:pPr>
      <w:r>
        <w:rPr>
          <w:sz w:val="21"/>
          <w:color w:val="000000"/>
        </w:rPr>
        <w:t>2、融资银行及联系方式：</w:t>
      </w:r>
      <w:r>
        <w:rPr>
          <w:u w:val="single"/>
        </w:rPr>
        <w:t xml:space="preserve">                                 </w:t>
      </w:r>
      <w:r>
        <w:rPr>
          <w:sz w:val="21"/>
          <w:color w:val="000000"/>
        </w:rPr>
        <w:t>。</w:t>
      </w:r>
    </w:p>
    <w:p>
      <w:pPr>
        <w:pStyle w:val="null3"/>
        <w:jc w:val="both"/>
      </w:pPr>
      <w:r>
        <w:rPr>
          <w:sz w:val="21"/>
          <w:color w:val="000000"/>
        </w:rPr>
        <w:t>3、若乙方已申请政府采购合同融资，其在本合同中登记的银行帐号应与金融机构签订融资协议中约定的融资回款账户一致，此账户作为政府采购融资合同资金回款的唯一账户，未获得融资银行同意，乙方不得随意变更</w:t>
      </w:r>
      <w:r>
        <w:rPr>
          <w:sz w:val="21"/>
          <w:b/>
          <w:color w:val="000000"/>
        </w:rPr>
        <w:t>。</w:t>
      </w:r>
    </w:p>
    <w:p>
      <w:pPr>
        <w:pStyle w:val="null3"/>
        <w:jc w:val="both"/>
      </w:pPr>
      <w:r>
        <w:rPr>
          <w:sz w:val="21"/>
          <w:b/>
          <w:color w:val="000000"/>
        </w:rPr>
        <w:t>十七、其它：</w:t>
      </w:r>
    </w:p>
    <w:p>
      <w:pPr>
        <w:pStyle w:val="null3"/>
        <w:jc w:val="both"/>
      </w:pPr>
      <w:r>
        <w:rPr>
          <w:sz w:val="21"/>
          <w:color w:val="000000"/>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pStyle w:val="null3"/>
        <w:jc w:val="both"/>
      </w:pPr>
      <w:r>
        <w:rPr>
          <w:sz w:val="21"/>
          <w:color w:val="000000"/>
        </w:rPr>
        <w:t>2、如一方（包括联系人）地址、电话、传真号码有变更，应在变更后3个工作日内书面通知对方联系人或负责人，否则，因此造成的损失由未履行通知义务方承担相应责任。</w:t>
      </w:r>
    </w:p>
    <w:p>
      <w:pPr>
        <w:pStyle w:val="null3"/>
        <w:jc w:val="both"/>
      </w:pPr>
      <w:r>
        <w:rPr>
          <w:sz w:val="21"/>
          <w:color w:val="000000"/>
        </w:rPr>
        <w:t>3、未经甲方书面同意，乙方不得擅自向第三方转让其主体性和关键性合同义务。</w:t>
      </w:r>
    </w:p>
    <w:p>
      <w:pPr>
        <w:pStyle w:val="null3"/>
        <w:jc w:val="both"/>
      </w:pPr>
      <w:r>
        <w:rPr>
          <w:sz w:val="21"/>
          <w:color w:val="000000"/>
        </w:rPr>
        <w:t>4、本合同一式</w:t>
      </w:r>
      <w:r>
        <w:rPr>
          <w:u w:val="single"/>
        </w:rPr>
        <w:t xml:space="preserve">    </w:t>
      </w:r>
      <w:r>
        <w:rPr>
          <w:sz w:val="21"/>
          <w:color w:val="000000"/>
        </w:rPr>
        <w:t>份，甲方执</w:t>
      </w:r>
      <w:r>
        <w:rPr>
          <w:u w:val="single"/>
        </w:rPr>
        <w:t xml:space="preserve">   </w:t>
      </w:r>
      <w:r>
        <w:rPr>
          <w:sz w:val="21"/>
          <w:color w:val="000000"/>
        </w:rPr>
        <w:t>份，乙方执</w:t>
      </w:r>
      <w:r>
        <w:rPr>
          <w:u w:val="single"/>
        </w:rPr>
        <w:t xml:space="preserve">   </w:t>
      </w:r>
      <w:r>
        <w:rPr>
          <w:sz w:val="21"/>
          <w:color w:val="000000"/>
        </w:rPr>
        <w:t>份。</w:t>
      </w:r>
    </w:p>
    <w:p>
      <w:pPr>
        <w:pStyle w:val="null3"/>
        <w:jc w:val="both"/>
      </w:pPr>
      <w:r>
        <w:rPr>
          <w:sz w:val="21"/>
          <w:color w:val="000000"/>
        </w:rPr>
        <w:t>5、本合同（含附件）共计</w:t>
      </w:r>
      <w:r>
        <w:rPr>
          <w:u w:val="single"/>
        </w:rPr>
        <w:t xml:space="preserve">    </w:t>
      </w:r>
      <w:r>
        <w:rPr>
          <w:sz w:val="21"/>
          <w:color w:val="000000"/>
        </w:rPr>
        <w:t>页，缺页之合同为无效合同。</w:t>
      </w:r>
    </w:p>
    <w:p>
      <w:pPr>
        <w:pStyle w:val="null3"/>
        <w:jc w:val="both"/>
      </w:pPr>
      <w:r>
        <w:rPr>
          <w:sz w:val="21"/>
          <w:color w:val="000000"/>
        </w:rPr>
        <w:t>6、本合同签约履约地点：广东省佛山市。</w:t>
      </w:r>
    </w:p>
    <w:p>
      <w:pPr>
        <w:pStyle w:val="null3"/>
        <w:jc w:val="both"/>
      </w:pPr>
      <w:r>
        <w:rPr>
          <w:sz w:val="21"/>
          <w:color w:val="000000"/>
        </w:rPr>
        <w:t>7、本合同所指“书面通知”包括但不限于短信、电子邮件等数据电文的通知形式，到达时间以民事诉讼法的规定为准，但进行书面通知前后，通知方均有义务电话确认通知事项。</w:t>
      </w:r>
    </w:p>
    <w:p>
      <w:pPr>
        <w:pStyle w:val="null3"/>
        <w:jc w:val="both"/>
      </w:pPr>
      <w:r>
        <w:rPr>
          <w:sz w:val="21"/>
          <w:color w:val="000000"/>
        </w:rPr>
        <w:t>8、双方均已对以上各条款及附件作充分了解，并明确理解由此而产生的相关权责。</w:t>
      </w:r>
    </w:p>
    <w:tbl>
      <w:tblPr>
        <w:tblW w:w="0" w:type="auto"/>
        <w:tblBorders>
          <w:top w:val="none" w:color="000000" w:sz="4"/>
          <w:left w:val="none" w:color="000000" w:sz="4"/>
          <w:bottom w:val="none" w:color="000000" w:sz="4"/>
          <w:right w:val="none" w:color="000000" w:sz="4"/>
          <w:insideH w:val="none"/>
          <w:insideV w:val="none"/>
        </w:tblBorders>
      </w:tblPr>
      <w:tblGrid>
        <w:gridCol w:w="4213"/>
        <w:gridCol w:w="3942"/>
        <w:gridCol w:w="150"/>
      </w:tblGrid>
      <w:tr>
        <w:tc>
          <w:tcPr>
            <w:tcW w:type="dxa" w:w="4213"/>
            <w:tcBorders>
              <w:top w:val="none" w:color="000000" w:sz="4"/>
              <w:left w:val="none" w:color="000000" w:sz="4"/>
              <w:bottom w:val="none" w:color="000000" w:sz="4"/>
              <w:right w:val="dashed" w:color="000000" w:sz="4"/>
            </w:tcBorders>
            <w:tcMar>
              <w:top w:type="dxa" w:w="0"/>
              <w:left w:type="dxa" w:w="105"/>
              <w:bottom w:type="dxa" w:w="0"/>
              <w:right w:type="dxa" w:w="105"/>
            </w:tcMar>
            <w:vAlign w:val="top"/>
          </w:tcPr>
          <w:p>
            <w:pPr>
              <w:pStyle w:val="null3"/>
              <w:jc w:val="both"/>
            </w:pPr>
            <w:r>
              <w:rPr>
                <w:sz w:val="21"/>
                <w:b/>
                <w:color w:val="000000"/>
              </w:rPr>
              <w:t>甲方（盖章）：</w:t>
            </w:r>
          </w:p>
          <w:p>
            <w:pPr>
              <w:pStyle w:val="null3"/>
              <w:jc w:val="both"/>
            </w:pPr>
            <w:r>
              <w:rPr>
                <w:sz w:val="21"/>
                <w:color w:val="000000"/>
              </w:rPr>
              <w:t>代表：</w:t>
            </w:r>
            <w:r>
              <w:rPr>
                <w:sz w:val="19"/>
                <w:u w:val="single"/>
              </w:rPr>
              <w:t xml:space="preserve">                              </w:t>
            </w:r>
            <w:r>
              <w:rPr>
                <w:sz w:val="19"/>
              </w:rPr>
              <w:t xml:space="preserve"> </w:t>
            </w:r>
          </w:p>
          <w:p>
            <w:pPr>
              <w:pStyle w:val="null3"/>
              <w:jc w:val="both"/>
            </w:pPr>
            <w:r>
              <w:rPr>
                <w:sz w:val="21"/>
                <w:color w:val="000000"/>
              </w:rPr>
              <w:t>地址：</w:t>
            </w:r>
          </w:p>
          <w:p>
            <w:pPr>
              <w:pStyle w:val="null3"/>
              <w:jc w:val="both"/>
            </w:pPr>
            <w:r>
              <w:rPr>
                <w:sz w:val="21"/>
                <w:color w:val="000000"/>
              </w:rPr>
              <w:t>电话：</w:t>
            </w:r>
          </w:p>
          <w:p>
            <w:pPr>
              <w:pStyle w:val="null3"/>
              <w:jc w:val="both"/>
            </w:pPr>
            <w:r>
              <w:rPr>
                <w:sz w:val="21"/>
                <w:color w:val="000000"/>
              </w:rPr>
              <w:t>传真：</w:t>
            </w:r>
          </w:p>
          <w:p>
            <w:pPr>
              <w:pStyle w:val="null3"/>
              <w:jc w:val="both"/>
            </w:pPr>
            <w:r>
              <w:rPr>
                <w:sz w:val="21"/>
                <w:color w:val="000000"/>
              </w:rPr>
              <w:t>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p>
        </w:tc>
        <w:tc>
          <w:tcPr>
            <w:tcW w:type="dxa" w:w="394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color w:val="000000"/>
              </w:rPr>
              <w:t>乙方（盖章）：</w:t>
            </w:r>
          </w:p>
          <w:p>
            <w:pPr>
              <w:pStyle w:val="null3"/>
              <w:jc w:val="both"/>
            </w:pPr>
            <w:r>
              <w:rPr>
                <w:sz w:val="21"/>
                <w:color w:val="000000"/>
              </w:rPr>
              <w:t>代表：</w:t>
            </w:r>
            <w:r>
              <w:rPr>
                <w:sz w:val="19"/>
                <w:u w:val="single"/>
              </w:rPr>
              <w:t xml:space="preserve">                           </w:t>
            </w:r>
          </w:p>
          <w:p>
            <w:pPr>
              <w:pStyle w:val="null3"/>
              <w:jc w:val="both"/>
            </w:pPr>
            <w:r>
              <w:rPr>
                <w:sz w:val="21"/>
                <w:color w:val="000000"/>
              </w:rPr>
              <w:t>地址：</w:t>
            </w:r>
          </w:p>
          <w:p>
            <w:pPr>
              <w:pStyle w:val="null3"/>
              <w:jc w:val="both"/>
            </w:pPr>
            <w:r>
              <w:rPr>
                <w:sz w:val="21"/>
                <w:color w:val="000000"/>
              </w:rPr>
              <w:t>电话：</w:t>
            </w:r>
          </w:p>
          <w:p>
            <w:pPr>
              <w:pStyle w:val="null3"/>
              <w:jc w:val="both"/>
            </w:pPr>
            <w:r>
              <w:rPr>
                <w:sz w:val="21"/>
                <w:color w:val="000000"/>
              </w:rPr>
              <w:t>传真：</w:t>
            </w:r>
          </w:p>
          <w:p>
            <w:pPr>
              <w:pStyle w:val="null3"/>
              <w:jc w:val="both"/>
            </w:pPr>
            <w:r>
              <w:rPr>
                <w:sz w:val="21"/>
                <w:color w:val="000000"/>
              </w:rPr>
              <w:t>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p>
        </w:tc>
        <w:tc>
          <w:tcPr>
            <w:tcW w:type="dxa" w:w="15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19"/>
              </w:rPr>
              <w:t xml:space="preserve"> </w:t>
            </w:r>
          </w:p>
        </w:tc>
      </w:tr>
      <w:tr>
        <w:tc>
          <w:tcPr>
            <w:tcW w:type="dxa" w:w="4213"/>
            <w:tcBorders>
              <w:top w:val="none" w:color="000000" w:sz="4"/>
              <w:left w:val="none" w:color="000000" w:sz="4"/>
              <w:bottom w:val="single" w:color="FFFFFF" w:sz="4"/>
              <w:right w:val="dashed" w:color="000000" w:sz="4"/>
            </w:tcBorders>
            <w:tcMar>
              <w:top w:type="dxa" w:w="0"/>
              <w:left w:type="dxa" w:w="105"/>
              <w:bottom w:type="dxa" w:w="0"/>
              <w:right w:type="dxa" w:w="105"/>
            </w:tcMar>
            <w:vAlign w:val="top"/>
          </w:tcPr>
          <w:p>
            <w:pPr>
              <w:pStyle w:val="null3"/>
              <w:jc w:val="both"/>
            </w:pPr>
          </w:p>
        </w:tc>
        <w:tc>
          <w:tcPr>
            <w:tcW w:type="dxa" w:w="4092"/>
            <w:gridSpan w:val="2"/>
            <w:tcBorders>
              <w:top w:val="none" w:color="000000" w:sz="4"/>
              <w:left w:val="none" w:color="000000" w:sz="4"/>
              <w:bottom w:val="single" w:color="FFFFFF" w:sz="4"/>
              <w:right w:val="none" w:color="000000" w:sz="4"/>
            </w:tcBorders>
            <w:tcMar>
              <w:top w:type="dxa" w:w="0"/>
              <w:left w:type="dxa" w:w="105"/>
              <w:bottom w:type="dxa" w:w="0"/>
              <w:right w:type="dxa" w:w="105"/>
            </w:tcMar>
            <w:vAlign w:val="top"/>
          </w:tcPr>
          <w:p>
            <w:pPr>
              <w:pStyle w:val="null3"/>
              <w:jc w:val="both"/>
            </w:pPr>
            <w:r>
              <w:rPr>
                <w:sz w:val="21"/>
                <w:b/>
                <w:color w:val="000000"/>
              </w:rPr>
              <w:t>收款方、开票方须与乙方一致，专户为：</w:t>
            </w:r>
          </w:p>
          <w:p>
            <w:pPr>
              <w:pStyle w:val="null3"/>
              <w:jc w:val="both"/>
            </w:pPr>
            <w:r>
              <w:rPr>
                <w:sz w:val="21"/>
                <w:color w:val="000000"/>
              </w:rPr>
              <w:t>开户名称：</w:t>
            </w:r>
          </w:p>
          <w:p>
            <w:pPr>
              <w:pStyle w:val="null3"/>
              <w:jc w:val="both"/>
            </w:pPr>
            <w:r>
              <w:rPr>
                <w:sz w:val="21"/>
                <w:color w:val="000000"/>
              </w:rPr>
              <w:t>银行账号：</w:t>
            </w:r>
          </w:p>
          <w:p>
            <w:pPr>
              <w:pStyle w:val="null3"/>
              <w:jc w:val="both"/>
            </w:pPr>
            <w:r>
              <w:rPr>
                <w:sz w:val="21"/>
                <w:color w:val="000000"/>
              </w:rPr>
              <w:t>开户行：</w:t>
            </w:r>
          </w:p>
        </w:tc>
      </w:tr>
    </w:tbl>
    <w:p>
      <w:pPr>
        <w:pStyle w:val="null3"/>
        <w:jc w:val="both"/>
      </w:pPr>
      <w:r>
        <w:rPr/>
        <w:t xml:space="preserve"> </w:t>
      </w:r>
    </w:p>
    <w:p>
      <w:pPr>
        <w:pStyle w:val="null3"/>
        <w:jc w:val="both"/>
      </w:pPr>
      <w:r>
        <w:rPr/>
        <w:t xml:space="preserve"> </w:t>
      </w:r>
    </w:p>
    <w:p>
      <w:pPr>
        <w:pStyle w:val="null3"/>
        <w:jc w:val="both"/>
      </w:pPr>
      <w:r>
        <w:rPr/>
        <w:t xml:space="preserve"> </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440601-2026-00653</w:t>
      </w:r>
    </w:p>
    <w:p>
      <w:pPr>
        <w:pStyle w:val="null3"/>
        <w:jc w:val="center"/>
        <w:outlineLvl w:val="3"/>
      </w:pPr>
      <w:r>
        <w:rPr>
          <w:sz w:val="24"/>
          <w:b/>
        </w:rPr>
        <w:t>采购项目编号：</w:t>
      </w:r>
      <w:r>
        <w:rPr>
          <w:sz w:val="24"/>
          <w:b/>
        </w:rPr>
        <w:t>440601-2026-00653</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五、关于符合本国产品标准的声明函等有关证明文件（如适用）</w:t>
      </w:r>
    </w:p>
    <w:p>
      <w:pPr>
        <w:pStyle w:val="null3"/>
        <w:ind w:firstLine="480"/>
      </w:pPr>
      <w:r>
        <w:rPr/>
        <w:t>六、法定代表人证明书</w:t>
      </w:r>
    </w:p>
    <w:p>
      <w:pPr>
        <w:pStyle w:val="null3"/>
        <w:ind w:firstLine="480"/>
      </w:pPr>
      <w:r>
        <w:rPr/>
        <w:t>七、法定代表人授权书</w:t>
      </w:r>
    </w:p>
    <w:p>
      <w:pPr>
        <w:pStyle w:val="null3"/>
        <w:ind w:firstLine="480"/>
      </w:pPr>
      <w:r>
        <w:rPr/>
        <w:t>八、响应保证金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十五、联合体共同响应协议书</w:t>
      </w:r>
    </w:p>
    <w:p>
      <w:pPr>
        <w:pStyle w:val="null3"/>
        <w:ind w:firstLine="480"/>
      </w:pPr>
      <w:r>
        <w:rPr/>
        <w:t>十六、供应商业绩情况表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二十五、附件</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佛山市粤创招标代理有限公司</w:t>
      </w:r>
    </w:p>
    <w:p>
      <w:pPr>
        <w:pStyle w:val="null3"/>
        <w:ind w:firstLine="480"/>
      </w:pPr>
      <w:r>
        <w:rPr/>
        <w:t xml:space="preserve"> 你方组织的</w:t>
      </w:r>
      <w:r>
        <w:rPr>
          <w:u w:val="single"/>
        </w:rPr>
        <w:t>“</w:t>
      </w:r>
      <w:r>
        <w:rPr>
          <w:u w:val="single"/>
        </w:rPr>
        <w:t>“领航佛商”系列活动</w:t>
      </w:r>
      <w:r>
        <w:rPr>
          <w:u w:val="single"/>
        </w:rPr>
        <w:t>”</w:t>
      </w:r>
      <w:r>
        <w:rPr/>
        <w:t>项目的竞争性磋商[采购项目编号为：</w:t>
      </w:r>
      <w:r>
        <w:rPr>
          <w:u w:val="single"/>
        </w:rPr>
        <w:t>440601-2026-00653</w:t>
      </w:r>
      <w:r>
        <w:rPr/>
        <w:t>]，我方愿参与响应。</w:t>
      </w:r>
    </w:p>
    <w:p>
      <w:pPr>
        <w:pStyle w:val="null3"/>
        <w:ind w:firstLine="480"/>
      </w:pPr>
      <w:r>
        <w:rPr/>
        <w:t>我方确认收到贵方提供的</w:t>
      </w:r>
      <w:r>
        <w:rPr>
          <w:u w:val="single"/>
        </w:rPr>
        <w:t>“</w:t>
      </w:r>
      <w:r>
        <w:rPr>
          <w:u w:val="single"/>
        </w:rPr>
        <w:t>“领航佛商”系列活动</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从提交投标（响应）文件的截止之日起90日历天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佛山市粤创招标代理有限公司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“领航佛商”系列活动</w:t>
      </w:r>
      <w:r>
        <w:rPr/>
        <w:t>”项目采购[采购项目编号为</w:t>
      </w:r>
      <w:r>
        <w:rPr/>
        <w:t>440601-2026-00653</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佛山市工商业联合会</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格式二十一：</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佛山市粤创招标代理有限公司</w:t>
      </w:r>
    </w:p>
    <w:p>
      <w:pPr>
        <w:pStyle w:val="null3"/>
        <w:ind w:firstLine="480"/>
      </w:pPr>
      <w:r>
        <w:rPr/>
        <w:t>我单位参加贵公司组织的</w:t>
      </w:r>
      <w:r>
        <w:rPr/>
        <w:t>“领航佛商”系列活动</w:t>
      </w:r>
      <w:r>
        <w:rPr/>
        <w:t>（采购项目编号：</w:t>
      </w:r>
      <w:r>
        <w:rPr/>
        <w:t>440601-2026-00653</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佛山市粤创招标代理有限公司</w:t>
      </w:r>
    </w:p>
    <w:p>
      <w:pPr>
        <w:pStyle w:val="null3"/>
        <w:ind w:firstLine="480"/>
      </w:pPr>
      <w:r>
        <w:rPr/>
        <w:t>我单位已登记并准备参与“</w:t>
      </w:r>
      <w:r>
        <w:rPr/>
        <w:t>“领航佛商”系列活动</w:t>
      </w:r>
      <w:r>
        <w:rPr/>
        <w:t>”项目（采购项目编号：</w:t>
      </w:r>
      <w:r>
        <w:rPr/>
        <w:t>440601-2026-00653</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