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440001-2025-00126</w:t>
      </w:r>
    </w:p>
    <w:p>
      <w:pPr>
        <w:pStyle w:val="null3"/>
        <w:jc w:val="center"/>
        <w:outlineLvl w:val="3"/>
      </w:pPr>
      <w:r>
        <w:rPr>
          <w:sz w:val="24"/>
          <w:b/>
        </w:rPr>
        <w:t>采购项目编号：</w:t>
      </w:r>
      <w:r>
        <w:rPr>
          <w:sz w:val="24"/>
          <w:b/>
        </w:rPr>
        <w:t>440001-2025-00126</w:t>
      </w:r>
    </w:p>
    <w:p>
      <w:pPr>
        <w:pStyle w:val="null3"/>
        <w:jc w:val="center"/>
        <w:outlineLvl w:val="3"/>
      </w:pPr>
      <w:r>
        <w:rPr>
          <w:sz w:val="24"/>
          <w:b/>
        </w:rPr>
        <w:t>项目名称：</w:t>
      </w:r>
      <w:r>
        <w:rPr>
          <w:sz w:val="24"/>
          <w:b/>
        </w:rPr>
        <w:t>2025年食堂食材配送服务</w:t>
      </w:r>
    </w:p>
    <w:p>
      <w:pPr>
        <w:pStyle w:val="null3"/>
        <w:jc w:val="center"/>
        <w:outlineLvl w:val="3"/>
      </w:pPr>
      <w:r>
        <w:rPr>
          <w:sz w:val="24"/>
          <w:b/>
        </w:rPr>
        <w:t>采购人：</w:t>
      </w:r>
      <w:r>
        <w:rPr>
          <w:sz w:val="24"/>
          <w:b/>
        </w:rPr>
        <w:t>佛山市三水区人民检察院</w:t>
      </w:r>
    </w:p>
    <w:p>
      <w:pPr>
        <w:pStyle w:val="null3"/>
        <w:jc w:val="center"/>
        <w:outlineLvl w:val="3"/>
      </w:pPr>
      <w:r>
        <w:rPr>
          <w:sz w:val="24"/>
          <w:b/>
        </w:rPr>
        <w:t>采购代理机构：</w:t>
      </w:r>
      <w:r>
        <w:rPr>
          <w:sz w:val="24"/>
          <w:b/>
        </w:rPr>
        <w:t>佛山市粤创招标代理有限公司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佛山市粤创招标代理有限公司</w:t>
      </w:r>
      <w:r>
        <w:rPr/>
        <w:t>受</w:t>
      </w:r>
      <w:r>
        <w:rPr/>
        <w:t>佛山市三水区人民检察院</w:t>
      </w:r>
      <w:r>
        <w:rPr/>
        <w:t>的委托，采用</w:t>
      </w:r>
      <w:r>
        <w:rPr/>
        <w:t>竞争性磋商</w:t>
      </w:r>
      <w:r>
        <w:rPr/>
        <w:t>方式组织采购</w:t>
      </w:r>
      <w:r>
        <w:rPr/>
        <w:t>2025年食堂食材配送服务</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2025年食堂食材配送服务</w:t>
      </w:r>
    </w:p>
    <w:p>
      <w:pPr>
        <w:pStyle w:val="null3"/>
        <w:ind w:firstLine="480"/>
      </w:pPr>
      <w:r>
        <w:rPr/>
        <w:t>采购计划编号：</w:t>
      </w:r>
      <w:r>
        <w:rPr/>
        <w:t>440001-2025-00126</w:t>
      </w:r>
    </w:p>
    <w:p>
      <w:pPr>
        <w:pStyle w:val="null3"/>
        <w:ind w:firstLine="480"/>
      </w:pPr>
      <w:r>
        <w:rPr/>
        <w:t>采购项目编号：</w:t>
      </w:r>
      <w:r>
        <w:rPr/>
        <w:t>440001-2025-00126</w:t>
      </w:r>
    </w:p>
    <w:p>
      <w:pPr>
        <w:pStyle w:val="null3"/>
        <w:ind w:firstLine="480"/>
      </w:pPr>
      <w:r>
        <w:rPr/>
        <w:t>采购方式：</w:t>
      </w:r>
      <w:r>
        <w:rPr/>
        <w:t>竞争性磋商</w:t>
      </w:r>
    </w:p>
    <w:p>
      <w:pPr>
        <w:pStyle w:val="null3"/>
        <w:ind w:firstLine="480"/>
      </w:pPr>
      <w:r>
        <w:rPr/>
        <w:t>预算金额：</w:t>
      </w:r>
      <w:r>
        <w:rPr/>
        <w:t>1,370,000.00</w:t>
      </w:r>
      <w:r>
        <w:rPr/>
        <w:t>元</w:t>
      </w:r>
    </w:p>
    <w:p>
      <w:pPr>
        <w:pStyle w:val="null3"/>
        <w:outlineLvl w:val="3"/>
      </w:pPr>
      <w:r>
        <w:rPr>
          <w:sz w:val="24"/>
          <w:b/>
        </w:rPr>
        <w:t>2.项目内容及需求情况（采购项目技术规格、参数及要求）</w:t>
      </w:r>
    </w:p>
    <w:p>
      <w:pPr>
        <w:pStyle w:val="null3"/>
      </w:pPr>
      <w:r>
        <w:rPr/>
        <w:t>采购包1(2025年食堂食材配送服务):</w:t>
      </w:r>
    </w:p>
    <w:p>
      <w:pPr>
        <w:pStyle w:val="null3"/>
      </w:pPr>
      <w:r>
        <w:rPr/>
        <w:t>采购包预算金额：1,370,000.00元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其他服务</w:t>
            </w:r>
          </w:p>
        </w:tc>
        <w:tc>
          <w:tcPr>
            <w:tcW w:type="dxa" w:w="2052"/>
          </w:tcPr>
          <w:p>
            <w:pPr>
              <w:pStyle w:val="null3"/>
            </w:pPr>
            <w:r>
              <w:rPr/>
              <w:t>2025年食堂食材配送服务</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1,370,000.00</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合同履行期限：自合同签订生效之日起一年。</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2）有依法缴纳税收和社会保障资金的良好记录：提供《政府采购供应商资格信用承诺函》或2024年任意1个月依法缴纳税收和社会保障资金的相关材料。 如依法免税或不需要缴纳社会保障资金的，提供相应证明材料。</w:t>
      </w:r>
    </w:p>
    <w:p>
      <w:pPr>
        <w:pStyle w:val="null3"/>
      </w:pPr>
      <w:r>
        <w:rPr/>
        <w:t>3）具有良好的商业信誉和健全的财务会计制度：供应商必须具有良好的商业信誉和健全的财务会计制度（提供《政府采购供应商资格信用承诺函》或2023年度财务状况报告或基本开户行出具的资信证明）。</w:t>
      </w:r>
    </w:p>
    <w:p>
      <w:pPr>
        <w:pStyle w:val="null3"/>
      </w:pPr>
      <w:r>
        <w:rPr/>
        <w:t>4）履行合同所必需的设备和专业技术能力：提供设备和专业技术能力的清单或提供书面声明（格式自拟）。</w:t>
      </w:r>
    </w:p>
    <w:p>
      <w:pPr>
        <w:pStyle w:val="null3"/>
      </w:pPr>
      <w:r>
        <w:rPr/>
        <w:t>5）参加采购活动前3年内，在经营活动中没有重大违法记录：参照投标（报价）函相关承诺格式内容或提供《政府采购供应商资格信用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采购包1（2025年食堂食材配送服务）：</w:t>
      </w:r>
      <w:r>
        <w:rPr/>
        <w:t>采购包整体专门面向中小企业。供应商须符合本项目采购标的对应行业（批发业） 政策划分标准的中小企业。监狱企业、残疾人福利单位视同小型、微型企业。注：本采购项目属性为服务类，中小企业应填写的《中小企业声明函（工程、服务）》为判定标准，残疾人福利性单位填写的《残疾人福利性单位声明函》为判定标准，监狱企业须供应商提供由省级以上监狱管理局、戒毒管理局（含新疆生产建设兵团）出具的属于监狱企业的证明文件，否则不予认定。</w:t>
      </w:r>
    </w:p>
    <w:p>
      <w:pPr>
        <w:pStyle w:val="null3"/>
        <w:outlineLvl w:val="3"/>
      </w:pPr>
      <w:r>
        <w:rPr>
          <w:sz w:val="24"/>
          <w:b/>
        </w:rPr>
        <w:t>3.本项目特定的资格要求：</w:t>
      </w:r>
    </w:p>
    <w:p>
      <w:pPr>
        <w:pStyle w:val="null3"/>
      </w:pPr>
      <w:r>
        <w:rPr/>
        <w:t>采购包1（2025年食堂食材配送服务）：</w:t>
      </w:r>
    </w:p>
    <w:p>
      <w:pPr>
        <w:pStyle w:val="null3"/>
      </w:pPr>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 为本项目提供整体设计、规范编制或者项目管理、监理、检测等服务的供应商，不得再参与本项目投标（响应）。投标（报价）函相关承诺要求内容。</w:t>
      </w:r>
    </w:p>
    <w:p>
      <w:pPr>
        <w:pStyle w:val="null3"/>
      </w:pPr>
      <w:r>
        <w:rPr/>
        <w:t>3)供应商具有有效的《食品经营许可证》或《食品生产许可证》，如有合并到营业执照的，须提供扫描营业执照二维码后的有效备案信息截图。</w:t>
      </w:r>
    </w:p>
    <w:p>
      <w:pPr>
        <w:pStyle w:val="null3"/>
      </w:pPr>
      <w:r>
        <w:rPr/>
        <w:t>4)本项目不接受联合体响应。</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广东省公共资源交易平台（佛山）（https://ygp.gdzwfw.gov.cn/#/440600/index），采购机构网址（ http://www.fsyczb.com/）</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佛山市三水区人民检察院</w:t>
      </w:r>
    </w:p>
    <w:p>
      <w:pPr>
        <w:pStyle w:val="null3"/>
        <w:ind w:firstLine="480"/>
      </w:pPr>
      <w:r>
        <w:rPr/>
        <w:t>地址：</w:t>
      </w:r>
      <w:r>
        <w:rPr/>
        <w:t>佛山市三水区环城路75号</w:t>
      </w:r>
    </w:p>
    <w:p>
      <w:pPr>
        <w:pStyle w:val="null3"/>
        <w:ind w:firstLine="480"/>
      </w:pPr>
      <w:r>
        <w:rPr/>
        <w:t>联系方式：</w:t>
      </w:r>
      <w:r>
        <w:rPr/>
        <w:t>0757-87775732</w:t>
      </w:r>
    </w:p>
    <w:p>
      <w:pPr>
        <w:pStyle w:val="null3"/>
        <w:outlineLvl w:val="3"/>
      </w:pPr>
      <w:r>
        <w:rPr>
          <w:sz w:val="24"/>
          <w:b/>
        </w:rPr>
        <w:t>2.采购代理机构信息</w:t>
      </w:r>
    </w:p>
    <w:p>
      <w:pPr>
        <w:pStyle w:val="null3"/>
        <w:ind w:firstLine="480"/>
      </w:pPr>
      <w:r>
        <w:rPr/>
        <w:t>名称：</w:t>
      </w:r>
      <w:r>
        <w:rPr/>
        <w:t>佛山市粤创招标代理有限公司</w:t>
      </w:r>
    </w:p>
    <w:p>
      <w:pPr>
        <w:pStyle w:val="null3"/>
        <w:ind w:firstLine="480"/>
      </w:pPr>
      <w:r>
        <w:rPr/>
        <w:t xml:space="preserve"> 地址：</w:t>
      </w:r>
      <w:r>
        <w:rPr/>
        <w:t>佛山市南海区石龙南路1号嘉邦国金中心2座22楼2208</w:t>
      </w:r>
    </w:p>
    <w:p>
      <w:pPr>
        <w:pStyle w:val="null3"/>
        <w:ind w:firstLine="480"/>
      </w:pPr>
      <w:r>
        <w:rPr/>
        <w:t xml:space="preserve"> 联系方式：</w:t>
      </w:r>
      <w:r>
        <w:rPr/>
        <w:t>0757-86260021</w:t>
      </w:r>
    </w:p>
    <w:p>
      <w:pPr>
        <w:pStyle w:val="null3"/>
        <w:outlineLvl w:val="3"/>
      </w:pPr>
      <w:r>
        <w:rPr>
          <w:sz w:val="24"/>
          <w:b/>
        </w:rPr>
        <w:t xml:space="preserve"> 3.项目联系方式</w:t>
      </w:r>
    </w:p>
    <w:p>
      <w:pPr>
        <w:pStyle w:val="null3"/>
        <w:ind w:firstLine="480"/>
      </w:pPr>
      <w:r>
        <w:rPr/>
        <w:t xml:space="preserve"> 项目联系人：</w:t>
      </w:r>
      <w:r>
        <w:rPr/>
        <w:t>黄小姐</w:t>
      </w:r>
    </w:p>
    <w:p>
      <w:pPr>
        <w:pStyle w:val="null3"/>
        <w:ind w:firstLine="480"/>
      </w:pPr>
      <w:r>
        <w:rPr/>
        <w:t xml:space="preserve"> 电话：</w:t>
      </w:r>
      <w:r>
        <w:rPr/>
        <w:t>0757-86260021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佛山市粤创招标代理有限公司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说明：</w:t>
      </w:r>
    </w:p>
    <w:p>
      <w:pPr>
        <w:pStyle w:val="null3"/>
        <w:ind w:firstLine="422"/>
        <w:jc w:val="both"/>
      </w:pPr>
      <w:r>
        <w:rPr>
          <w:sz w:val="21"/>
          <w:b/>
        </w:rPr>
        <w:t>1.响应供应商须对本项目为单位的服务进行整体响应，任何只对其中一部分内容进行的响应都被视为无效响应。</w:t>
      </w:r>
    </w:p>
    <w:p>
      <w:pPr>
        <w:pStyle w:val="null3"/>
        <w:ind w:firstLine="422"/>
        <w:jc w:val="both"/>
      </w:pPr>
      <w:r>
        <w:rPr>
          <w:sz w:val="21"/>
          <w:b/>
        </w:rPr>
        <w:t>2.打“★”号条款为实质性条款，若有任何一条负偏离或不满足则导致投标（响应）无效。</w:t>
      </w:r>
    </w:p>
    <w:tbl>
      <w:tblPr>
        <w:tblW w:w="0" w:type="auto"/>
        <w:tblBorders>
          <w:top w:val="none" w:color="000000" w:sz="4"/>
          <w:left w:val="none" w:color="000000" w:sz="4"/>
          <w:bottom w:val="none" w:color="000000" w:sz="4"/>
          <w:right w:val="none" w:color="000000" w:sz="4"/>
          <w:insideH w:val="none"/>
          <w:insideV w:val="none"/>
        </w:tblBorders>
      </w:tblPr>
      <w:tblGrid>
        <w:gridCol w:w="975"/>
        <w:gridCol w:w="1368"/>
        <w:gridCol w:w="2061"/>
        <w:gridCol w:w="975"/>
        <w:gridCol w:w="975"/>
        <w:gridCol w:w="975"/>
        <w:gridCol w:w="975"/>
      </w:tblGrid>
      <w:tr>
        <w:tc>
          <w:tcPr>
            <w:tcW w:type="dxa" w:w="9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品目号</w:t>
            </w:r>
          </w:p>
        </w:tc>
        <w:tc>
          <w:tcPr>
            <w:tcW w:type="dxa" w:w="13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品目名称</w:t>
            </w:r>
          </w:p>
        </w:tc>
        <w:tc>
          <w:tcPr>
            <w:tcW w:type="dxa" w:w="20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采购标的</w:t>
            </w:r>
          </w:p>
        </w:tc>
        <w:tc>
          <w:tcPr>
            <w:tcW w:type="dxa" w:w="9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数量（单位）</w:t>
            </w:r>
          </w:p>
        </w:tc>
        <w:tc>
          <w:tcPr>
            <w:tcW w:type="dxa" w:w="9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技术规格、参数及要求</w:t>
            </w:r>
          </w:p>
        </w:tc>
        <w:tc>
          <w:tcPr>
            <w:tcW w:type="dxa" w:w="9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品目预算</w:t>
            </w:r>
            <w:r>
              <w:rPr>
                <w:sz w:val="21"/>
              </w:rPr>
              <w:t>(元)</w:t>
            </w:r>
          </w:p>
        </w:tc>
        <w:tc>
          <w:tcPr>
            <w:tcW w:type="dxa" w:w="9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是否允许进口产品</w:t>
            </w:r>
          </w:p>
        </w:tc>
      </w:tr>
      <w:tr>
        <w:tc>
          <w:tcPr>
            <w:tcW w:type="dxa" w:w="9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1-1</w:t>
            </w:r>
          </w:p>
        </w:tc>
        <w:tc>
          <w:tcPr>
            <w:tcW w:type="dxa" w:w="13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其他服务</w:t>
            </w:r>
          </w:p>
        </w:tc>
        <w:tc>
          <w:tcPr>
            <w:tcW w:type="dxa" w:w="20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2025年食堂食材配送服务</w:t>
            </w:r>
          </w:p>
        </w:tc>
        <w:tc>
          <w:tcPr>
            <w:tcW w:type="dxa" w:w="9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1(项)</w:t>
            </w:r>
          </w:p>
        </w:tc>
        <w:tc>
          <w:tcPr>
            <w:tcW w:type="dxa" w:w="9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详见第二章</w:t>
            </w:r>
          </w:p>
        </w:tc>
        <w:tc>
          <w:tcPr>
            <w:tcW w:type="dxa" w:w="9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1,370,000.00</w:t>
            </w:r>
          </w:p>
        </w:tc>
        <w:tc>
          <w:tcPr>
            <w:tcW w:type="dxa" w:w="9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否</w:t>
            </w:r>
          </w:p>
        </w:tc>
      </w:tr>
    </w:tbl>
    <w:p>
      <w:pPr>
        <w:pStyle w:val="null3"/>
        <w:ind w:firstLine="422"/>
        <w:jc w:val="both"/>
      </w:pPr>
      <w:r>
        <w:rPr>
          <w:sz w:val="21"/>
          <w:b/>
        </w:rPr>
        <w:t>二、项目内容</w:t>
      </w:r>
    </w:p>
    <w:p>
      <w:pPr>
        <w:pStyle w:val="null3"/>
        <w:ind w:firstLine="420"/>
        <w:jc w:val="both"/>
      </w:pPr>
      <w:r>
        <w:rPr>
          <w:sz w:val="21"/>
        </w:rPr>
        <w:t>1、本项目用户为佛山市三水区人民检察院，为了更好地提高食材配送服务的水平和服务质量，拟通过本次招标采购，择优选择两家有供货能力和服务经验的单位为本项目提供服务。采购产品包括肉类、蔬果类、冰鲜肉类、早餐和粮油副食、水果等。</w:t>
      </w:r>
    </w:p>
    <w:tbl>
      <w:tblPr>
        <w:tblW w:w="0" w:type="auto"/>
        <w:tblBorders>
          <w:top w:val="none" w:color="000000" w:sz="4"/>
          <w:left w:val="none" w:color="000000" w:sz="4"/>
          <w:bottom w:val="none" w:color="000000" w:sz="4"/>
          <w:right w:val="none" w:color="000000" w:sz="4"/>
          <w:insideH w:val="none"/>
          <w:insideV w:val="none"/>
        </w:tblBorders>
      </w:tblPr>
      <w:tblGrid>
        <w:gridCol w:w="1144"/>
        <w:gridCol w:w="5200"/>
        <w:gridCol w:w="1962"/>
      </w:tblGrid>
      <w:tr>
        <w:tc>
          <w:tcPr>
            <w:tcW w:type="dxa" w:w="114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52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13"/>
              <w:jc w:val="center"/>
            </w:pPr>
            <w:r>
              <w:rPr>
                <w:sz w:val="21"/>
              </w:rPr>
              <w:t>项目名称</w:t>
            </w:r>
          </w:p>
        </w:tc>
        <w:tc>
          <w:tcPr>
            <w:tcW w:type="dxa" w:w="196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成交供应商</w:t>
            </w:r>
          </w:p>
        </w:tc>
      </w:tr>
      <w:tr>
        <w:tc>
          <w:tcPr>
            <w:tcW w:type="dxa" w:w="11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2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13"/>
              <w:jc w:val="center"/>
            </w:pPr>
            <w:r>
              <w:rPr>
                <w:sz w:val="21"/>
              </w:rPr>
              <w:t>2025年食堂食材配送服务</w:t>
            </w:r>
          </w:p>
        </w:tc>
        <w:tc>
          <w:tcPr>
            <w:tcW w:type="dxa" w:w="19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2家</w:t>
            </w:r>
          </w:p>
        </w:tc>
      </w:tr>
    </w:tbl>
    <w:p>
      <w:pPr>
        <w:pStyle w:val="null3"/>
        <w:ind w:firstLine="420"/>
        <w:jc w:val="both"/>
      </w:pPr>
      <w:r>
        <w:rPr>
          <w:sz w:val="21"/>
        </w:rPr>
        <w:t>2、★成交供应商不得将本项目转让或分包给他人，否则采购人有权单方终止合同，由此产生的一切经济损失由成交供应商自行承担（磋商时提供承诺函作证明材料，格式自拟）。</w:t>
      </w:r>
    </w:p>
    <w:p>
      <w:pPr>
        <w:pStyle w:val="null3"/>
        <w:ind w:firstLine="420"/>
      </w:pPr>
      <w:r>
        <w:rPr>
          <w:sz w:val="21"/>
        </w:rPr>
        <w:t>3、</w:t>
      </w:r>
      <w:r>
        <w:rPr>
          <w:sz w:val="21"/>
        </w:rPr>
        <w:t>本项目服务期为自合同签订之日起一年。</w:t>
      </w:r>
    </w:p>
    <w:p>
      <w:pPr>
        <w:pStyle w:val="null3"/>
        <w:ind w:firstLine="420"/>
      </w:pPr>
      <w:r>
        <w:rPr>
          <w:sz w:val="21"/>
        </w:rPr>
        <w:t>三、</w:t>
      </w:r>
      <w:r>
        <w:rPr>
          <w:sz w:val="21"/>
          <w:b/>
        </w:rPr>
        <w:t>需求一览表</w:t>
      </w:r>
    </w:p>
    <w:p>
      <w:pPr>
        <w:pStyle w:val="null3"/>
        <w:ind w:firstLine="422"/>
        <w:jc w:val="left"/>
      </w:pPr>
      <w:r>
        <w:rPr>
          <w:sz w:val="21"/>
          <w:b/>
        </w:rPr>
        <w:t>货物供应区域及人数（表一）</w:t>
      </w:r>
    </w:p>
    <w:tbl>
      <w:tblPr>
        <w:tblW w:w="0" w:type="auto"/>
        <w:tblBorders>
          <w:top w:val="none" w:color="000000" w:sz="4"/>
          <w:left w:val="none" w:color="000000" w:sz="4"/>
          <w:bottom w:val="none" w:color="000000" w:sz="4"/>
          <w:right w:val="none" w:color="000000" w:sz="4"/>
          <w:insideH w:val="none"/>
          <w:insideV w:val="none"/>
        </w:tblBorders>
      </w:tblPr>
      <w:tblGrid>
        <w:gridCol w:w="4443"/>
        <w:gridCol w:w="3863"/>
      </w:tblGrid>
      <w:tr>
        <w:tc>
          <w:tcPr>
            <w:tcW w:type="dxa" w:w="4443"/>
            <w:tcBorders>
              <w:top w:val="single" w:color="000000" w:sz="4"/>
              <w:left w:val="single" w:color="000000" w:sz="4"/>
              <w:bottom w:val="single" w:color="000000" w:sz="4"/>
              <w:right w:val="single" w:color="000000" w:sz="4"/>
            </w:tcBorders>
            <w:shd w:fill="D9D9D9"/>
            <w:tcMar>
              <w:top w:type="dxa" w:w="0"/>
              <w:left w:type="dxa" w:w="105"/>
              <w:bottom w:type="dxa" w:w="0"/>
              <w:right w:type="dxa" w:w="105"/>
            </w:tcMar>
            <w:vAlign w:val="top"/>
          </w:tcPr>
          <w:p>
            <w:pPr>
              <w:pStyle w:val="null3"/>
              <w:jc w:val="center"/>
            </w:pPr>
            <w:r>
              <w:rPr>
                <w:sz w:val="21"/>
              </w:rPr>
              <w:t>供应区域</w:t>
            </w:r>
          </w:p>
        </w:tc>
        <w:tc>
          <w:tcPr>
            <w:tcW w:type="dxa" w:w="3863"/>
            <w:tcBorders>
              <w:top w:val="single" w:color="000000" w:sz="4"/>
              <w:left w:val="none" w:color="000000" w:sz="4"/>
              <w:bottom w:val="single" w:color="000000" w:sz="4"/>
              <w:right w:val="single" w:color="000000" w:sz="4"/>
            </w:tcBorders>
            <w:shd w:fill="D9D9D9"/>
            <w:tcMar>
              <w:top w:type="dxa" w:w="0"/>
              <w:left w:type="dxa" w:w="105"/>
              <w:bottom w:type="dxa" w:w="0"/>
              <w:right w:type="dxa" w:w="105"/>
            </w:tcMar>
            <w:vAlign w:val="top"/>
          </w:tcPr>
          <w:p>
            <w:pPr>
              <w:pStyle w:val="null3"/>
              <w:jc w:val="center"/>
            </w:pPr>
            <w:r>
              <w:rPr>
                <w:sz w:val="21"/>
              </w:rPr>
              <w:t>人数（人）</w:t>
            </w:r>
          </w:p>
        </w:tc>
      </w:tr>
      <w:tr>
        <w:tc>
          <w:tcPr>
            <w:tcW w:type="dxa" w:w="44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佛山市三水区人民检察院</w:t>
            </w:r>
          </w:p>
        </w:tc>
        <w:tc>
          <w:tcPr>
            <w:tcW w:type="dxa" w:w="3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约</w:t>
            </w:r>
            <w:r>
              <w:rPr>
                <w:sz w:val="21"/>
              </w:rPr>
              <w:t>165</w:t>
            </w:r>
          </w:p>
        </w:tc>
      </w:tr>
    </w:tbl>
    <w:p>
      <w:pPr>
        <w:pStyle w:val="null3"/>
        <w:jc w:val="both"/>
      </w:pPr>
      <w:r>
        <w:rPr>
          <w:sz w:val="21"/>
          <w:b/>
        </w:rPr>
        <w:t>采购项目清单（表二）</w:t>
      </w:r>
    </w:p>
    <w:tbl>
      <w:tblPr>
        <w:tblW w:w="0" w:type="auto"/>
        <w:tblBorders>
          <w:top w:val="none" w:color="000000" w:sz="4"/>
          <w:left w:val="none" w:color="000000" w:sz="4"/>
          <w:bottom w:val="none" w:color="000000" w:sz="4"/>
          <w:right w:val="none" w:color="000000" w:sz="4"/>
          <w:insideH w:val="none"/>
          <w:insideV w:val="none"/>
        </w:tblBorders>
      </w:tblPr>
      <w:tblGrid>
        <w:gridCol w:w="1904"/>
        <w:gridCol w:w="2184"/>
        <w:gridCol w:w="4218"/>
      </w:tblGrid>
      <w:tr>
        <w:tc>
          <w:tcPr>
            <w:tcW w:type="dxa" w:w="1904"/>
            <w:tcBorders>
              <w:top w:val="single" w:color="000000" w:sz="4"/>
              <w:left w:val="single" w:color="000000" w:sz="4"/>
              <w:bottom w:val="single" w:color="000000" w:sz="4"/>
              <w:right w:val="single" w:color="000000" w:sz="4"/>
            </w:tcBorders>
            <w:shd w:fill="D9D9D9"/>
            <w:tcMar>
              <w:top w:type="dxa" w:w="0"/>
              <w:left w:type="dxa" w:w="105"/>
              <w:bottom w:type="dxa" w:w="0"/>
              <w:right w:type="dxa" w:w="105"/>
            </w:tcMar>
            <w:vAlign w:val="top"/>
          </w:tcPr>
          <w:p>
            <w:pPr>
              <w:pStyle w:val="null3"/>
              <w:jc w:val="both"/>
            </w:pPr>
            <w:r>
              <w:rPr>
                <w:sz w:val="21"/>
              </w:rPr>
              <w:t>序号</w:t>
            </w:r>
          </w:p>
        </w:tc>
        <w:tc>
          <w:tcPr>
            <w:tcW w:type="dxa" w:w="6402"/>
            <w:gridSpan w:val="2"/>
            <w:tcBorders>
              <w:top w:val="single" w:color="000000" w:sz="4"/>
              <w:left w:val="none" w:color="000000" w:sz="4"/>
              <w:bottom w:val="single" w:color="000000" w:sz="4"/>
              <w:right w:val="single" w:color="000000" w:sz="4"/>
            </w:tcBorders>
            <w:shd w:fill="D9D9D9"/>
            <w:tcMar>
              <w:top w:type="dxa" w:w="0"/>
              <w:left w:type="dxa" w:w="105"/>
              <w:bottom w:type="dxa" w:w="0"/>
              <w:right w:type="dxa" w:w="105"/>
            </w:tcMar>
            <w:vAlign w:val="top"/>
          </w:tcPr>
          <w:p>
            <w:pPr>
              <w:pStyle w:val="null3"/>
              <w:jc w:val="both"/>
            </w:pPr>
            <w:r>
              <w:rPr>
                <w:sz w:val="21"/>
              </w:rPr>
              <w:t>品目</w:t>
            </w:r>
          </w:p>
        </w:tc>
      </w:tr>
      <w:tr>
        <w:tc>
          <w:tcPr>
            <w:tcW w:type="dxa" w:w="190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p>
        </w:tc>
        <w:tc>
          <w:tcPr>
            <w:tcW w:type="dxa" w:w="6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新鲜肉类（猪牛羊、生禽、水产等新鲜产品）</w:t>
            </w:r>
          </w:p>
        </w:tc>
      </w:tr>
      <w:tr>
        <w:tc>
          <w:tcPr>
            <w:tcW w:type="dxa" w:w="1904"/>
            <w:vMerge/>
            <w:tcBorders>
              <w:top w:val="none" w:color="000000" w:sz="4"/>
              <w:left w:val="single" w:color="000000" w:sz="4"/>
              <w:bottom w:val="single" w:color="000000" w:sz="4"/>
              <w:right w:val="single" w:color="000000" w:sz="4"/>
            </w:tcBorders>
          </w:tcPr>
          <w:p/>
        </w:tc>
        <w:tc>
          <w:tcPr>
            <w:tcW w:type="dxa" w:w="6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新鲜蔬菜及副食品类项目（如蛋类、豆制品及其它辅料）</w:t>
            </w:r>
          </w:p>
        </w:tc>
      </w:tr>
      <w:tr>
        <w:tc>
          <w:tcPr>
            <w:tcW w:type="dxa" w:w="1904"/>
            <w:vMerge/>
            <w:tcBorders>
              <w:top w:val="none" w:color="000000" w:sz="4"/>
              <w:left w:val="single" w:color="000000" w:sz="4"/>
              <w:bottom w:val="single" w:color="000000" w:sz="4"/>
              <w:right w:val="single" w:color="000000" w:sz="4"/>
            </w:tcBorders>
          </w:tcPr>
          <w:p/>
        </w:tc>
        <w:tc>
          <w:tcPr>
            <w:tcW w:type="dxa" w:w="6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冰鲜肉类</w:t>
            </w:r>
            <w:r>
              <w:rPr>
                <w:sz w:val="21"/>
              </w:rPr>
              <w:t>(猪牛羊、生禽、水产等冰鲜产品)</w:t>
            </w:r>
          </w:p>
        </w:tc>
      </w:tr>
      <w:tr>
        <w:tc>
          <w:tcPr>
            <w:tcW w:type="dxa" w:w="19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p>
        </w:tc>
        <w:tc>
          <w:tcPr>
            <w:tcW w:type="dxa" w:w="6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调味品、日杂、水果等</w:t>
            </w:r>
          </w:p>
        </w:tc>
      </w:tr>
      <w:tr>
        <w:tc>
          <w:tcPr>
            <w:tcW w:type="dxa" w:w="190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p>
        </w:tc>
        <w:tc>
          <w:tcPr>
            <w:tcW w:type="dxa" w:w="6402"/>
            <w:gridSpan w:val="2"/>
            <w:tcBorders>
              <w:top w:val="none" w:color="000000" w:sz="4"/>
              <w:left w:val="none" w:color="000000" w:sz="4"/>
              <w:bottom w:val="single" w:color="000000" w:sz="4"/>
              <w:right w:val="single" w:color="000000" w:sz="4"/>
            </w:tcBorders>
            <w:shd w:fill="D9D9D9"/>
            <w:tcMar>
              <w:top w:type="dxa" w:w="0"/>
              <w:left w:type="dxa" w:w="105"/>
              <w:bottom w:type="dxa" w:w="0"/>
              <w:right w:type="dxa" w:w="105"/>
            </w:tcMar>
            <w:vAlign w:val="top"/>
          </w:tcPr>
          <w:p>
            <w:pPr>
              <w:pStyle w:val="null3"/>
              <w:jc w:val="both"/>
            </w:pPr>
            <w:r>
              <w:rPr>
                <w:sz w:val="21"/>
              </w:rPr>
              <w:t>早餐种类</w:t>
            </w:r>
          </w:p>
        </w:tc>
      </w:tr>
      <w:tr>
        <w:tc>
          <w:tcPr>
            <w:tcW w:type="dxa" w:w="1904"/>
            <w:vMerge/>
            <w:tcBorders>
              <w:top w:val="none" w:color="000000" w:sz="4"/>
              <w:left w:val="single" w:color="000000" w:sz="4"/>
              <w:bottom w:val="single" w:color="000000" w:sz="4"/>
              <w:right w:val="single" w:color="000000" w:sz="4"/>
            </w:tcBorders>
          </w:tcPr>
          <w:p/>
        </w:tc>
        <w:tc>
          <w:tcPr>
            <w:tcW w:type="dxa" w:w="6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奶类</w:t>
            </w:r>
          </w:p>
        </w:tc>
      </w:tr>
      <w:tr>
        <w:tc>
          <w:tcPr>
            <w:tcW w:type="dxa" w:w="1904"/>
            <w:vMerge/>
            <w:tcBorders>
              <w:top w:val="none" w:color="000000" w:sz="4"/>
              <w:left w:val="single" w:color="000000" w:sz="4"/>
              <w:bottom w:val="single" w:color="000000" w:sz="4"/>
              <w:right w:val="single" w:color="000000" w:sz="4"/>
            </w:tcBorders>
          </w:tcPr>
          <w:p/>
        </w:tc>
        <w:tc>
          <w:tcPr>
            <w:tcW w:type="dxa" w:w="6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烘烤面包</w:t>
            </w:r>
          </w:p>
        </w:tc>
      </w:tr>
      <w:tr>
        <w:tc>
          <w:tcPr>
            <w:tcW w:type="dxa" w:w="1904"/>
            <w:vMerge/>
            <w:tcBorders>
              <w:top w:val="none" w:color="000000" w:sz="4"/>
              <w:left w:val="single" w:color="000000" w:sz="4"/>
              <w:bottom w:val="single" w:color="000000" w:sz="4"/>
              <w:right w:val="single" w:color="000000" w:sz="4"/>
            </w:tcBorders>
          </w:tcPr>
          <w:p/>
        </w:tc>
        <w:tc>
          <w:tcPr>
            <w:tcW w:type="dxa" w:w="6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蒸包类</w:t>
            </w:r>
          </w:p>
        </w:tc>
      </w:tr>
      <w:tr>
        <w:tc>
          <w:tcPr>
            <w:tcW w:type="dxa" w:w="1904"/>
            <w:vMerge/>
            <w:tcBorders>
              <w:top w:val="none" w:color="000000" w:sz="4"/>
              <w:left w:val="single" w:color="000000" w:sz="4"/>
              <w:bottom w:val="single" w:color="000000" w:sz="4"/>
              <w:right w:val="single" w:color="000000" w:sz="4"/>
            </w:tcBorders>
          </w:tcPr>
          <w:p/>
        </w:tc>
        <w:tc>
          <w:tcPr>
            <w:tcW w:type="dxa" w:w="6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面类</w:t>
            </w:r>
          </w:p>
        </w:tc>
      </w:tr>
      <w:tr>
        <w:tc>
          <w:tcPr>
            <w:tcW w:type="dxa" w:w="1904"/>
            <w:vMerge/>
            <w:tcBorders>
              <w:top w:val="none" w:color="000000" w:sz="4"/>
              <w:left w:val="single" w:color="000000" w:sz="4"/>
              <w:bottom w:val="single" w:color="000000" w:sz="4"/>
              <w:right w:val="single" w:color="000000" w:sz="4"/>
            </w:tcBorders>
          </w:tcPr>
          <w:p/>
        </w:tc>
        <w:tc>
          <w:tcPr>
            <w:tcW w:type="dxa" w:w="6402"/>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面粉</w:t>
            </w:r>
          </w:p>
        </w:tc>
      </w:tr>
      <w:tr>
        <w:tc>
          <w:tcPr>
            <w:tcW w:type="dxa" w:w="1904"/>
            <w:vMerge/>
            <w:tcBorders>
              <w:top w:val="none" w:color="000000" w:sz="4"/>
              <w:left w:val="single" w:color="000000" w:sz="4"/>
              <w:bottom w:val="single" w:color="000000" w:sz="4"/>
              <w:right w:val="single" w:color="000000" w:sz="4"/>
            </w:tcBorders>
          </w:tcPr>
          <w:p/>
        </w:tc>
        <w:tc>
          <w:tcPr>
            <w:tcW w:type="dxa" w:w="218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粉类</w:t>
            </w:r>
          </w:p>
        </w:tc>
        <w:tc>
          <w:tcPr>
            <w:tcW w:type="dxa" w:w="42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河粉</w:t>
            </w:r>
          </w:p>
        </w:tc>
      </w:tr>
      <w:tr>
        <w:tc>
          <w:tcPr>
            <w:tcW w:type="dxa" w:w="1904"/>
            <w:vMerge/>
            <w:tcBorders>
              <w:top w:val="none" w:color="000000" w:sz="4"/>
              <w:left w:val="single" w:color="000000" w:sz="4"/>
              <w:bottom w:val="single" w:color="000000" w:sz="4"/>
              <w:right w:val="single" w:color="000000" w:sz="4"/>
            </w:tcBorders>
          </w:tcPr>
          <w:p/>
        </w:tc>
        <w:tc>
          <w:tcPr>
            <w:tcW w:type="dxa" w:w="2184"/>
            <w:vMerge/>
            <w:tcBorders>
              <w:top w:val="none" w:color="000000" w:sz="4"/>
              <w:left w:val="none" w:color="000000" w:sz="4"/>
              <w:bottom w:val="single" w:color="000000" w:sz="4"/>
              <w:right w:val="single" w:color="000000" w:sz="4"/>
            </w:tcBorders>
          </w:tcPr>
          <w:p/>
        </w:tc>
        <w:tc>
          <w:tcPr>
            <w:tcW w:type="dxa" w:w="42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米粉</w:t>
            </w:r>
          </w:p>
        </w:tc>
      </w:tr>
    </w:tbl>
    <w:p>
      <w:pPr>
        <w:pStyle w:val="null3"/>
        <w:jc w:val="both"/>
      </w:pPr>
      <w:r>
        <w:rPr>
          <w:sz w:val="21"/>
          <w:b/>
        </w:rPr>
        <w:t>备注：人数、清单品目仅作参考，以实际发生的供货量为结算依据。</w:t>
      </w:r>
    </w:p>
    <w:p>
      <w:pPr>
        <w:pStyle w:val="null3"/>
        <w:ind w:firstLine="420"/>
        <w:jc w:val="both"/>
      </w:pPr>
      <w:r>
        <w:rPr>
          <w:sz w:val="21"/>
          <w:b/>
        </w:rPr>
        <w:t>四、货物的标准及要求</w:t>
      </w:r>
    </w:p>
    <w:p>
      <w:pPr>
        <w:pStyle w:val="null3"/>
        <w:ind w:firstLine="420"/>
        <w:jc w:val="both"/>
      </w:pPr>
      <w:r>
        <w:rPr>
          <w:sz w:val="21"/>
        </w:rPr>
        <w:t>1肉类品质要求：</w:t>
      </w:r>
    </w:p>
    <w:p>
      <w:pPr>
        <w:pStyle w:val="null3"/>
        <w:ind w:firstLine="420"/>
        <w:jc w:val="both"/>
      </w:pPr>
      <w:r>
        <w:rPr>
          <w:sz w:val="21"/>
        </w:rPr>
        <w:t>1.1.所供肉类必须符合国家有关标准，保证无异味、无霉烂变质。肉类供货时需提供当批次有效的动物产品检疫合格证，原件备查。</w:t>
      </w:r>
    </w:p>
    <w:p>
      <w:pPr>
        <w:pStyle w:val="null3"/>
        <w:ind w:firstLine="420"/>
        <w:jc w:val="both"/>
      </w:pPr>
      <w:r>
        <w:rPr>
          <w:sz w:val="21"/>
        </w:rPr>
        <w:t>1.2所有肉类各项质量技术指标必须完全符合国家有关的质量检测、环保标准及产品出厂标准。每批鲜猪肉、猪骨可以是佛山市及周边城市政府指定的肉联厂发出的放心肉并提供放心肉证，并注明保鲜期。</w:t>
      </w:r>
    </w:p>
    <w:p>
      <w:pPr>
        <w:pStyle w:val="null3"/>
        <w:ind w:firstLine="420"/>
        <w:jc w:val="both"/>
      </w:pPr>
      <w:r>
        <w:rPr>
          <w:sz w:val="21"/>
        </w:rPr>
        <w:t>1.3.所有肉类指标要符合国家强制性标准要求，冻食品类产品，响应供应商必须清晰地列出产品品牌、型号、包装类型、包装方式、包装净重量、含冰量等相关参数，且包装箱上必须贴有"SC"开头的14位数字食品生产许可证编号。</w:t>
      </w:r>
    </w:p>
    <w:p>
      <w:pPr>
        <w:pStyle w:val="null3"/>
        <w:ind w:firstLine="420"/>
        <w:jc w:val="both"/>
      </w:pPr>
      <w:r>
        <w:rPr>
          <w:sz w:val="21"/>
        </w:rPr>
        <w:t>1.4.响应供应商必须在采购人指定交货地点1小时（50公里）范围内设有固定的储存库，其储存量应能满足采购人的三天需求。</w:t>
      </w:r>
    </w:p>
    <w:p>
      <w:pPr>
        <w:pStyle w:val="null3"/>
        <w:ind w:firstLine="420"/>
        <w:jc w:val="both"/>
      </w:pPr>
      <w:r>
        <w:rPr>
          <w:sz w:val="21"/>
        </w:rPr>
        <w:t>1.5.如成交供应商不能按时、保质、保量供货，由采购人自行采购，并承担采购人由此造成的经济损失和接受违约处罚。</w:t>
      </w:r>
    </w:p>
    <w:p>
      <w:pPr>
        <w:pStyle w:val="null3"/>
        <w:ind w:firstLine="420"/>
        <w:jc w:val="both"/>
      </w:pPr>
      <w:r>
        <w:rPr>
          <w:sz w:val="21"/>
        </w:rPr>
        <w:t>1.6.肉类生产企业的资质证明（首次供应时提供）：《企业法人营业执照》、《食品生产许可证》、《动物防疫合格证》、《食品经营许可证》。</w:t>
      </w:r>
    </w:p>
    <w:p>
      <w:pPr>
        <w:pStyle w:val="null3"/>
        <w:ind w:firstLine="420"/>
        <w:jc w:val="both"/>
      </w:pPr>
      <w:r>
        <w:rPr>
          <w:sz w:val="21"/>
        </w:rPr>
        <w:t>1.7.每次交货时提供本批次产品的出厂（库）检验合格证明（随车同行）：《产品合格证》、《卫生检疫报告》、《贮存地的出入库检疫证明》（水产品适用）。</w:t>
      </w:r>
    </w:p>
    <w:p>
      <w:pPr>
        <w:pStyle w:val="null3"/>
        <w:ind w:firstLine="420"/>
        <w:jc w:val="both"/>
      </w:pPr>
      <w:r>
        <w:rPr>
          <w:sz w:val="21"/>
        </w:rPr>
        <w:t>1.8.对肉类的品质要求，必须下列规格要求：</w:t>
      </w:r>
    </w:p>
    <w:tbl>
      <w:tblPr>
        <w:tblW w:w="0" w:type="auto"/>
        <w:tblBorders>
          <w:top w:val="none" w:color="000000" w:sz="4"/>
          <w:left w:val="none" w:color="000000" w:sz="4"/>
          <w:bottom w:val="none" w:color="000000" w:sz="4"/>
          <w:right w:val="none" w:color="000000" w:sz="4"/>
          <w:insideH w:val="none"/>
          <w:insideV w:val="none"/>
        </w:tblBorders>
      </w:tblPr>
      <w:tblGrid>
        <w:gridCol w:w="1243"/>
        <w:gridCol w:w="7062"/>
      </w:tblGrid>
      <w:tr>
        <w:tc>
          <w:tcPr>
            <w:tcW w:type="dxa" w:w="1243"/>
            <w:tcBorders>
              <w:top w:val="single" w:color="000000" w:sz="4"/>
              <w:left w:val="single" w:color="000000" w:sz="4"/>
              <w:bottom w:val="single" w:color="000000" w:sz="4"/>
              <w:right w:val="single" w:color="000000" w:sz="4"/>
            </w:tcBorders>
            <w:shd w:fill="D9D9D9"/>
            <w:tcMar>
              <w:top w:type="dxa" w:w="0"/>
              <w:left w:type="dxa" w:w="105"/>
              <w:bottom w:type="dxa" w:w="0"/>
              <w:right w:type="dxa" w:w="105"/>
            </w:tcMar>
            <w:vAlign w:val="top"/>
          </w:tcPr>
          <w:p>
            <w:pPr>
              <w:pStyle w:val="null3"/>
              <w:jc w:val="both"/>
            </w:pPr>
            <w:r>
              <w:rPr>
                <w:sz w:val="21"/>
                <w:b/>
              </w:rPr>
              <w:t>项目</w:t>
            </w:r>
          </w:p>
        </w:tc>
        <w:tc>
          <w:tcPr>
            <w:tcW w:type="dxa" w:w="7062"/>
            <w:tcBorders>
              <w:top w:val="single" w:color="000000" w:sz="4"/>
              <w:left w:val="none" w:color="000000" w:sz="4"/>
              <w:bottom w:val="single" w:color="000000" w:sz="4"/>
              <w:right w:val="single" w:color="000000" w:sz="4"/>
            </w:tcBorders>
            <w:shd w:fill="D9D9D9"/>
            <w:tcMar>
              <w:top w:type="dxa" w:w="0"/>
              <w:left w:type="dxa" w:w="105"/>
              <w:bottom w:type="dxa" w:w="0"/>
              <w:right w:type="dxa" w:w="105"/>
            </w:tcMar>
            <w:vAlign w:val="top"/>
          </w:tcPr>
          <w:p>
            <w:pPr>
              <w:pStyle w:val="null3"/>
              <w:jc w:val="both"/>
            </w:pPr>
            <w:r>
              <w:rPr>
                <w:sz w:val="21"/>
                <w:b/>
              </w:rPr>
              <w:t>要求</w:t>
            </w:r>
          </w:p>
        </w:tc>
      </w:tr>
      <w:tr>
        <w:tc>
          <w:tcPr>
            <w:tcW w:type="dxa" w:w="12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色泽</w:t>
            </w:r>
          </w:p>
        </w:tc>
        <w:tc>
          <w:tcPr>
            <w:tcW w:type="dxa" w:w="70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肌肉有光泽</w:t>
            </w:r>
            <w:r>
              <w:rPr>
                <w:sz w:val="21"/>
              </w:rPr>
              <w:t>,红色均匀,脂肪乳白色肌肉有光泽,红色或稍暗,脂肪白色。</w:t>
            </w:r>
          </w:p>
        </w:tc>
      </w:tr>
      <w:tr>
        <w:tc>
          <w:tcPr>
            <w:tcW w:type="dxa" w:w="12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组织状态</w:t>
            </w:r>
          </w:p>
        </w:tc>
        <w:tc>
          <w:tcPr>
            <w:tcW w:type="dxa" w:w="70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纤维清晰</w:t>
            </w:r>
            <w:r>
              <w:rPr>
                <w:sz w:val="21"/>
              </w:rPr>
              <w:t>,有坚韧性,指压后凹陷立即恢复肉质紧密,有坚韧性。</w:t>
            </w:r>
          </w:p>
        </w:tc>
      </w:tr>
      <w:tr>
        <w:tc>
          <w:tcPr>
            <w:tcW w:type="dxa" w:w="12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粘度</w:t>
            </w:r>
          </w:p>
        </w:tc>
        <w:tc>
          <w:tcPr>
            <w:tcW w:type="dxa" w:w="70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外表湿润</w:t>
            </w:r>
            <w:r>
              <w:rPr>
                <w:sz w:val="21"/>
              </w:rPr>
              <w:t>,不粘手外表湿润,切面有渗出液,不粘手</w:t>
            </w:r>
          </w:p>
        </w:tc>
      </w:tr>
      <w:tr>
        <w:tc>
          <w:tcPr>
            <w:tcW w:type="dxa" w:w="12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气味</w:t>
            </w:r>
          </w:p>
        </w:tc>
        <w:tc>
          <w:tcPr>
            <w:tcW w:type="dxa" w:w="70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具有鲜猪肉固有的气味</w:t>
            </w:r>
            <w:r>
              <w:rPr>
                <w:sz w:val="21"/>
              </w:rPr>
              <w:t>,无异味,煮沸后肉汤澄清透明,脂肪团聚于表面澄清透明或稍有浑浊,脂肪团聚于表面。</w:t>
            </w:r>
          </w:p>
        </w:tc>
      </w:tr>
      <w:tr>
        <w:tc>
          <w:tcPr>
            <w:tcW w:type="dxa" w:w="12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重量</w:t>
            </w:r>
          </w:p>
        </w:tc>
        <w:tc>
          <w:tcPr>
            <w:tcW w:type="dxa" w:w="706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供货肉重量须达到采购人的供货需求重量。</w:t>
            </w:r>
          </w:p>
        </w:tc>
      </w:tr>
    </w:tbl>
    <w:p>
      <w:pPr>
        <w:pStyle w:val="null3"/>
        <w:ind w:firstLine="420"/>
        <w:jc w:val="both"/>
      </w:pPr>
      <w:r>
        <w:rPr>
          <w:sz w:val="21"/>
        </w:rPr>
        <w:t>2蔬菜类验收标准</w:t>
      </w:r>
    </w:p>
    <w:p>
      <w:pPr>
        <w:pStyle w:val="null3"/>
        <w:ind w:firstLine="420"/>
        <w:jc w:val="both"/>
      </w:pPr>
      <w:r>
        <w:rPr>
          <w:sz w:val="21"/>
        </w:rPr>
        <w:t>2.1.蔬菜新鲜度的标准</w:t>
      </w:r>
    </w:p>
    <w:tbl>
      <w:tblPr>
        <w:tblW w:w="0" w:type="auto"/>
        <w:tblBorders>
          <w:top w:val="none" w:color="000000" w:sz="4"/>
          <w:left w:val="none" w:color="000000" w:sz="4"/>
          <w:bottom w:val="none" w:color="000000" w:sz="4"/>
          <w:right w:val="none" w:color="000000" w:sz="4"/>
          <w:insideH w:val="none"/>
          <w:insideV w:val="none"/>
        </w:tblBorders>
      </w:tblPr>
      <w:tblGrid>
        <w:gridCol w:w="1433"/>
        <w:gridCol w:w="6873"/>
      </w:tblGrid>
      <w:tr>
        <w:tc>
          <w:tcPr>
            <w:tcW w:type="dxa" w:w="1433"/>
            <w:tcBorders>
              <w:top w:val="single" w:color="000000" w:sz="4"/>
              <w:left w:val="single" w:color="000000" w:sz="4"/>
              <w:bottom w:val="single" w:color="000000" w:sz="4"/>
              <w:right w:val="single" w:color="000000" w:sz="4"/>
            </w:tcBorders>
            <w:shd w:fill="D9D9D9"/>
            <w:tcMar>
              <w:top w:type="dxa" w:w="0"/>
              <w:left w:type="dxa" w:w="105"/>
              <w:bottom w:type="dxa" w:w="0"/>
              <w:right w:type="dxa" w:w="105"/>
            </w:tcMar>
            <w:vAlign w:val="top"/>
          </w:tcPr>
          <w:p>
            <w:pPr>
              <w:pStyle w:val="null3"/>
              <w:jc w:val="both"/>
            </w:pPr>
            <w:r>
              <w:rPr>
                <w:sz w:val="21"/>
                <w:b/>
              </w:rPr>
              <w:t>项目</w:t>
            </w:r>
          </w:p>
        </w:tc>
        <w:tc>
          <w:tcPr>
            <w:tcW w:type="dxa" w:w="6873"/>
            <w:tcBorders>
              <w:top w:val="single" w:color="000000" w:sz="4"/>
              <w:left w:val="none" w:color="000000" w:sz="4"/>
              <w:bottom w:val="single" w:color="000000" w:sz="4"/>
              <w:right w:val="single" w:color="000000" w:sz="4"/>
            </w:tcBorders>
            <w:shd w:fill="D9D9D9"/>
            <w:tcMar>
              <w:top w:type="dxa" w:w="0"/>
              <w:left w:type="dxa" w:w="105"/>
              <w:bottom w:type="dxa" w:w="0"/>
              <w:right w:type="dxa" w:w="105"/>
            </w:tcMar>
            <w:vAlign w:val="top"/>
          </w:tcPr>
          <w:p>
            <w:pPr>
              <w:pStyle w:val="null3"/>
              <w:jc w:val="both"/>
            </w:pPr>
            <w:r>
              <w:rPr>
                <w:sz w:val="21"/>
                <w:b/>
              </w:rPr>
              <w:t>标准</w:t>
            </w:r>
          </w:p>
        </w:tc>
      </w:tr>
      <w:tr>
        <w:tc>
          <w:tcPr>
            <w:tcW w:type="dxa" w:w="14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水量</w:t>
            </w:r>
          </w:p>
        </w:tc>
        <w:tc>
          <w:tcPr>
            <w:tcW w:type="dxa" w:w="6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充足、但无过份萎蔫、皱皮。</w:t>
            </w:r>
          </w:p>
        </w:tc>
      </w:tr>
      <w:tr>
        <w:tc>
          <w:tcPr>
            <w:tcW w:type="dxa" w:w="14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色泽</w:t>
            </w:r>
          </w:p>
        </w:tc>
        <w:tc>
          <w:tcPr>
            <w:tcW w:type="dxa" w:w="6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正常、无变色、光泽、学亮鲜艳。</w:t>
            </w:r>
          </w:p>
        </w:tc>
      </w:tr>
      <w:tr>
        <w:tc>
          <w:tcPr>
            <w:tcW w:type="dxa" w:w="14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硬度</w:t>
            </w:r>
          </w:p>
        </w:tc>
        <w:tc>
          <w:tcPr>
            <w:tcW w:type="dxa" w:w="6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叶菜挺立、爪菜饱满、结实、无空心、根菜略硬。</w:t>
            </w:r>
          </w:p>
        </w:tc>
      </w:tr>
      <w:tr>
        <w:tc>
          <w:tcPr>
            <w:tcW w:type="dxa" w:w="14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机械伤</w:t>
            </w:r>
          </w:p>
        </w:tc>
        <w:tc>
          <w:tcPr>
            <w:tcW w:type="dxa" w:w="6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相同新鲜条件下无外力造成伤害：挤伤、压伤、碰伤切口、裂伤等。</w:t>
            </w:r>
          </w:p>
        </w:tc>
      </w:tr>
      <w:tr>
        <w:tc>
          <w:tcPr>
            <w:tcW w:type="dxa" w:w="14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病虫害</w:t>
            </w:r>
          </w:p>
        </w:tc>
        <w:tc>
          <w:tcPr>
            <w:tcW w:type="dxa" w:w="6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无虫害、虫嗑、无残虫卵。</w:t>
            </w:r>
          </w:p>
        </w:tc>
      </w:tr>
      <w:tr>
        <w:tc>
          <w:tcPr>
            <w:tcW w:type="dxa" w:w="14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形状</w:t>
            </w:r>
          </w:p>
        </w:tc>
        <w:tc>
          <w:tcPr>
            <w:tcW w:type="dxa" w:w="6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枝叶丰满、大小适中、曲线谐调。</w:t>
            </w:r>
          </w:p>
        </w:tc>
      </w:tr>
      <w:tr>
        <w:tc>
          <w:tcPr>
            <w:tcW w:type="dxa" w:w="14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成熟度</w:t>
            </w:r>
          </w:p>
        </w:tc>
        <w:tc>
          <w:tcPr>
            <w:tcW w:type="dxa" w:w="6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适中、无未熟过识、腐烂。</w:t>
            </w:r>
          </w:p>
        </w:tc>
      </w:tr>
      <w:tr>
        <w:tc>
          <w:tcPr>
            <w:tcW w:type="dxa" w:w="14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污染</w:t>
            </w:r>
          </w:p>
        </w:tc>
        <w:tc>
          <w:tcPr>
            <w:tcW w:type="dxa" w:w="6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无污染、残留农药、运输造成的污染。</w:t>
            </w:r>
          </w:p>
        </w:tc>
      </w:tr>
      <w:tr>
        <w:tc>
          <w:tcPr>
            <w:tcW w:type="dxa" w:w="14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有包装的菜</w:t>
            </w:r>
          </w:p>
        </w:tc>
        <w:tc>
          <w:tcPr>
            <w:tcW w:type="dxa" w:w="6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应完整、干净。</w:t>
            </w:r>
          </w:p>
        </w:tc>
      </w:tr>
      <w:tr>
        <w:tc>
          <w:tcPr>
            <w:tcW w:type="dxa" w:w="14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重量</w:t>
            </w:r>
          </w:p>
        </w:tc>
        <w:tc>
          <w:tcPr>
            <w:tcW w:type="dxa" w:w="6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供菜重量须达到采购人的供货需求重量。</w:t>
            </w:r>
          </w:p>
        </w:tc>
      </w:tr>
    </w:tbl>
    <w:p>
      <w:pPr>
        <w:pStyle w:val="null3"/>
        <w:ind w:firstLine="420"/>
        <w:jc w:val="both"/>
      </w:pPr>
      <w:r>
        <w:rPr>
          <w:sz w:val="21"/>
        </w:rPr>
        <w:t>2.2.蔬菜必须是新鲜的无公害蔬菜，蔬菜要切掉菜头部份，且符合国家食品卫生标准。具体为：</w:t>
      </w:r>
    </w:p>
    <w:tbl>
      <w:tblPr>
        <w:tblW w:w="0" w:type="auto"/>
        <w:tblBorders>
          <w:top w:val="none" w:color="000000" w:sz="4"/>
          <w:left w:val="none" w:color="000000" w:sz="4"/>
          <w:bottom w:val="none" w:color="000000" w:sz="4"/>
          <w:right w:val="none" w:color="000000" w:sz="4"/>
          <w:insideH w:val="none"/>
          <w:insideV w:val="none"/>
        </w:tblBorders>
      </w:tblPr>
      <w:tblGrid>
        <w:gridCol w:w="1553"/>
        <w:gridCol w:w="6753"/>
      </w:tblGrid>
      <w:tr>
        <w:tc>
          <w:tcPr>
            <w:tcW w:type="dxa" w:w="1553"/>
            <w:tcBorders>
              <w:top w:val="single" w:color="000000" w:sz="4"/>
              <w:left w:val="single" w:color="000000" w:sz="4"/>
              <w:bottom w:val="single" w:color="000000" w:sz="4"/>
              <w:right w:val="single" w:color="000000" w:sz="4"/>
            </w:tcBorders>
            <w:shd w:fill="D9D9D9"/>
            <w:tcMar>
              <w:top w:type="dxa" w:w="0"/>
              <w:left w:type="dxa" w:w="105"/>
              <w:bottom w:type="dxa" w:w="0"/>
              <w:right w:type="dxa" w:w="105"/>
            </w:tcMar>
            <w:vAlign w:val="top"/>
          </w:tcPr>
          <w:p>
            <w:pPr>
              <w:pStyle w:val="null3"/>
              <w:jc w:val="both"/>
            </w:pPr>
            <w:r>
              <w:rPr>
                <w:sz w:val="21"/>
                <w:b/>
              </w:rPr>
              <w:t>项目</w:t>
            </w:r>
          </w:p>
        </w:tc>
        <w:tc>
          <w:tcPr>
            <w:tcW w:type="dxa" w:w="6753"/>
            <w:tcBorders>
              <w:top w:val="single" w:color="000000" w:sz="4"/>
              <w:left w:val="none" w:color="000000" w:sz="4"/>
              <w:bottom w:val="single" w:color="000000" w:sz="4"/>
              <w:right w:val="single" w:color="000000" w:sz="4"/>
            </w:tcBorders>
            <w:shd w:fill="D9D9D9"/>
            <w:tcMar>
              <w:top w:type="dxa" w:w="0"/>
              <w:left w:type="dxa" w:w="105"/>
              <w:bottom w:type="dxa" w:w="0"/>
              <w:right w:type="dxa" w:w="105"/>
            </w:tcMar>
            <w:vAlign w:val="top"/>
          </w:tcPr>
          <w:p>
            <w:pPr>
              <w:pStyle w:val="null3"/>
              <w:jc w:val="both"/>
            </w:pPr>
            <w:r>
              <w:rPr>
                <w:sz w:val="21"/>
                <w:b/>
              </w:rPr>
              <w:t>国家食品卫生标准</w:t>
            </w:r>
          </w:p>
        </w:tc>
      </w:tr>
      <w:tr>
        <w:tc>
          <w:tcPr>
            <w:tcW w:type="dxa" w:w="1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叶菜类</w:t>
            </w:r>
          </w:p>
        </w:tc>
        <w:tc>
          <w:tcPr>
            <w:tcW w:type="dxa" w:w="6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大白菜、小白菜、菠菜、空心菜、芹菜、荠菜等绿叶菜类。属同一品种规格，鲜嫩形态好，色泽正常，茎基部削平，无枯黄叶、病叶、泥土、明显机械伤和病虫害伤，无烧心焦边、腐烂等现象，无抽苔（菜心除外），无畸形、异味，结球叶菜要结球适度，花椰菜应新鲜洁白，不带叶麸，无畸形花。</w:t>
            </w:r>
          </w:p>
        </w:tc>
      </w:tr>
      <w:tr>
        <w:tc>
          <w:tcPr>
            <w:tcW w:type="dxa" w:w="1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茄果类</w:t>
            </w:r>
          </w:p>
        </w:tc>
        <w:tc>
          <w:tcPr>
            <w:tcW w:type="dxa" w:w="6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番茄、茄子等。属同一品种规格，果实整洁，成熟度适中，番茄花蒂不明显，无裂果及空洞现象，茄果不能有裂蒂及果皮变硬现象，无腐烂、无畸形、异味、无明显机械伤。</w:t>
            </w:r>
          </w:p>
        </w:tc>
      </w:tr>
      <w:tr>
        <w:tc>
          <w:tcPr>
            <w:tcW w:type="dxa" w:w="1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瓜果类</w:t>
            </w:r>
          </w:p>
        </w:tc>
        <w:tc>
          <w:tcPr>
            <w:tcW w:type="dxa" w:w="6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黄瓜、冬瓜、丝瓜、苦瓜、南瓜、毛节瓜等。属同一品种规格，形状、色泽一致，瓜条均匀，无疤点，无断裂、无腐烂、畸形、异味、无明显机械伤，不带泥土。</w:t>
            </w:r>
          </w:p>
        </w:tc>
      </w:tr>
      <w:tr>
        <w:tc>
          <w:tcPr>
            <w:tcW w:type="dxa" w:w="1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根菜类</w:t>
            </w:r>
          </w:p>
        </w:tc>
        <w:tc>
          <w:tcPr>
            <w:tcW w:type="dxa" w:w="6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萝卜、大头菜、沙葛等。属同一品种规格，皮细光滑，大小均匀，肉质脆嫩致密新鲜，无腐烂、畸形、裂痕、糠心、异味，不带泥沙，不带茎叶和须根。</w:t>
            </w:r>
          </w:p>
        </w:tc>
      </w:tr>
      <w:tr>
        <w:tc>
          <w:tcPr>
            <w:tcW w:type="dxa" w:w="1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薯芋类</w:t>
            </w:r>
          </w:p>
        </w:tc>
        <w:tc>
          <w:tcPr>
            <w:tcW w:type="dxa" w:w="6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马铃薯。属同一品种规格，色泽一致，不带泥沙，不带须根、茎叶、不干瘪，无腐烂、畸形、异味、明显机械伤、病虫害斑，马铃薯无发芽，皮不变绿。</w:t>
            </w:r>
          </w:p>
        </w:tc>
      </w:tr>
      <w:tr>
        <w:tc>
          <w:tcPr>
            <w:tcW w:type="dxa" w:w="1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豆类</w:t>
            </w:r>
          </w:p>
        </w:tc>
        <w:tc>
          <w:tcPr>
            <w:tcW w:type="dxa" w:w="6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扁豆、豌豆、豆角等。形态完整，成熟度适中，无腐烂、畸形、异味，豆荚类新鲜、幼嫩、均匀，豆仁类籽粒饱满，较均匀，无发芽，不带泥土杂质。</w:t>
            </w:r>
          </w:p>
        </w:tc>
      </w:tr>
      <w:tr>
        <w:tc>
          <w:tcPr>
            <w:tcW w:type="dxa" w:w="15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芽苗类</w:t>
            </w:r>
          </w:p>
        </w:tc>
        <w:tc>
          <w:tcPr>
            <w:tcW w:type="dxa" w:w="67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绿豆芽、黄豆芽等。芽苗幼嫩，不带豆壳杂质，新鲜，不浸水，无腐烂、异味。</w:t>
            </w:r>
          </w:p>
        </w:tc>
      </w:tr>
    </w:tbl>
    <w:p>
      <w:pPr>
        <w:pStyle w:val="null3"/>
        <w:ind w:firstLine="420"/>
        <w:jc w:val="both"/>
      </w:pPr>
      <w:r>
        <w:rPr>
          <w:sz w:val="21"/>
        </w:rPr>
        <w:t>3.水产类的品质要求:</w:t>
      </w:r>
    </w:p>
    <w:p>
      <w:pPr>
        <w:pStyle w:val="null3"/>
        <w:ind w:firstLine="420"/>
        <w:jc w:val="both"/>
      </w:pPr>
      <w:r>
        <w:rPr>
          <w:sz w:val="21"/>
        </w:rPr>
        <w:t>3.1.鲜鱼鳞片完整，有光泽无脱落，鳃口紧闭，眼球光亮透明，鱼鳃鲜红，鳍尾完整，确保皮肤天然色泽明显。</w:t>
      </w:r>
    </w:p>
    <w:p>
      <w:pPr>
        <w:pStyle w:val="null3"/>
        <w:ind w:firstLine="420"/>
        <w:jc w:val="both"/>
      </w:pPr>
      <w:r>
        <w:rPr>
          <w:sz w:val="21"/>
        </w:rPr>
        <w:t>3.2.鱼体饱满结实、新鲜，无腐烂异味，肉质紧密有弹性，无离骨脱刺现象。</w:t>
      </w:r>
    </w:p>
    <w:p>
      <w:pPr>
        <w:pStyle w:val="null3"/>
        <w:ind w:firstLine="420"/>
        <w:jc w:val="both"/>
      </w:pPr>
      <w:r>
        <w:rPr>
          <w:sz w:val="21"/>
        </w:rPr>
        <w:t>3.3.鲜鱼类来源可靠放心，无毒、无害、无污染。</w:t>
      </w:r>
    </w:p>
    <w:p>
      <w:pPr>
        <w:pStyle w:val="null3"/>
        <w:ind w:firstLine="420"/>
        <w:jc w:val="both"/>
      </w:pPr>
      <w:r>
        <w:rPr>
          <w:sz w:val="21"/>
        </w:rPr>
        <w:t>3.4.鲜活类要求游动活泼，鱼体健康，体态匀称，体色鲜明，体表光滑，眼睛亮丽，鳞片鳍条完好。</w:t>
      </w:r>
    </w:p>
    <w:p>
      <w:pPr>
        <w:pStyle w:val="null3"/>
        <w:ind w:firstLine="420"/>
        <w:jc w:val="both"/>
      </w:pPr>
      <w:r>
        <w:rPr>
          <w:sz w:val="21"/>
        </w:rPr>
        <w:t>4.水果的品质要求：</w:t>
      </w:r>
    </w:p>
    <w:p>
      <w:pPr>
        <w:pStyle w:val="null3"/>
        <w:ind w:firstLine="420"/>
        <w:jc w:val="both"/>
      </w:pPr>
      <w:r>
        <w:rPr>
          <w:sz w:val="21"/>
        </w:rPr>
        <w:t>4.1.果实整洁，成熟度适中，无裂果及空洞现象，表皮呈鲜艳，平滑无污斑，肉质脆嫩多汁，无青皮、果身结实、无裂口、异味、无明显机械伤、腐烂等现象。</w:t>
      </w:r>
    </w:p>
    <w:p>
      <w:pPr>
        <w:pStyle w:val="null3"/>
        <w:ind w:firstLine="420"/>
        <w:jc w:val="both"/>
      </w:pPr>
      <w:r>
        <w:rPr>
          <w:sz w:val="21"/>
        </w:rPr>
        <w:t>4.2.形状、色泽一致，整齐均匀，无疤点，果实圆整、光洁，且产品须有无农药残留检测报告。</w:t>
      </w:r>
    </w:p>
    <w:p>
      <w:pPr>
        <w:pStyle w:val="null3"/>
        <w:ind w:firstLine="420"/>
        <w:jc w:val="both"/>
      </w:pPr>
      <w:r>
        <w:rPr>
          <w:sz w:val="21"/>
        </w:rPr>
        <w:t>5.早餐的品质要求：</w:t>
      </w:r>
    </w:p>
    <w:p>
      <w:pPr>
        <w:pStyle w:val="null3"/>
        <w:ind w:firstLine="420"/>
        <w:jc w:val="both"/>
      </w:pPr>
      <w:r>
        <w:rPr>
          <w:sz w:val="21"/>
        </w:rPr>
        <w:t>5.1.牛奶的质量标准：</w:t>
      </w:r>
    </w:p>
    <w:p>
      <w:pPr>
        <w:pStyle w:val="null3"/>
        <w:ind w:firstLine="420"/>
        <w:jc w:val="both"/>
      </w:pPr>
      <w:r>
        <w:rPr>
          <w:sz w:val="21"/>
        </w:rPr>
        <w:t>1）鲜奶的感观指标、理化指标、卫生指标按本省地方标准《鲜牛奶》DB/2300X16001-16005-86规定执行。</w:t>
      </w:r>
    </w:p>
    <w:p>
      <w:pPr>
        <w:pStyle w:val="null3"/>
        <w:ind w:firstLine="420"/>
        <w:jc w:val="both"/>
      </w:pPr>
      <w:r>
        <w:rPr>
          <w:sz w:val="21"/>
        </w:rPr>
        <w:t>2）正常牛乳应呈均匀乳白色或微带黄色,具有水牛乳固有的香味，香味较浓郁，无异味</w:t>
      </w:r>
    </w:p>
    <w:p>
      <w:pPr>
        <w:pStyle w:val="null3"/>
        <w:ind w:firstLine="420"/>
        <w:jc w:val="both"/>
      </w:pPr>
      <w:r>
        <w:rPr>
          <w:sz w:val="21"/>
        </w:rPr>
        <w:t>3）呈均匀一致液体，无凝块、无沉淀、无正常视力可见异物。口感较浓厚。不得含有肉眼可见的异物,不得有红色、绿色或其他异色。不能有苦、咸、涩的滋味和饲料、青贮、霉等其他异常气味。</w:t>
      </w:r>
    </w:p>
    <w:p>
      <w:pPr>
        <w:pStyle w:val="null3"/>
        <w:ind w:firstLine="420"/>
        <w:jc w:val="both"/>
      </w:pPr>
      <w:r>
        <w:rPr>
          <w:sz w:val="21"/>
        </w:rPr>
        <w:t>4）注意牛奶包装上必须清晰地列出产品品牌、型号、包装类型、包装方式、包装净重量、保存温度、生产日期和保质期等相关参数，且包装箱上必须贴有"SC"开头的14位数字食品生产许可证编号。</w:t>
      </w:r>
    </w:p>
    <w:p>
      <w:pPr>
        <w:pStyle w:val="null3"/>
        <w:ind w:firstLine="420"/>
        <w:jc w:val="both"/>
      </w:pPr>
      <w:r>
        <w:rPr>
          <w:sz w:val="21"/>
        </w:rPr>
        <w:t>5.2.烘烤面包的质量标准：依据标准：QB 1252-91《面包》</w:t>
      </w:r>
    </w:p>
    <w:tbl>
      <w:tblPr>
        <w:tblW w:w="0" w:type="auto"/>
        <w:tblBorders>
          <w:top w:val="none" w:color="000000" w:sz="4"/>
          <w:left w:val="none" w:color="000000" w:sz="4"/>
          <w:bottom w:val="none" w:color="000000" w:sz="4"/>
          <w:right w:val="none" w:color="000000" w:sz="4"/>
          <w:insideH w:val="none"/>
          <w:insideV w:val="none"/>
        </w:tblBorders>
      </w:tblPr>
      <w:tblGrid>
        <w:gridCol w:w="1086"/>
        <w:gridCol w:w="998"/>
        <w:gridCol w:w="6220"/>
      </w:tblGrid>
      <w:tr>
        <w:tc>
          <w:tcPr>
            <w:tcW w:type="dxa" w:w="1086"/>
            <w:tcBorders>
              <w:top w:val="single" w:color="000000" w:sz="4"/>
              <w:left w:val="single" w:color="000000" w:sz="4"/>
              <w:bottom w:val="single" w:color="000000" w:sz="4"/>
              <w:right w:val="single" w:color="000000" w:sz="4"/>
            </w:tcBorders>
            <w:shd w:fill="CCCCCC"/>
            <w:tcMar>
              <w:top w:type="dxa" w:w="0"/>
              <w:left w:type="dxa" w:w="105"/>
              <w:bottom w:type="dxa" w:w="0"/>
              <w:right w:type="dxa" w:w="105"/>
            </w:tcMar>
            <w:vAlign w:val="top"/>
          </w:tcPr>
          <w:p>
            <w:pPr>
              <w:pStyle w:val="null3"/>
              <w:jc w:val="both"/>
            </w:pPr>
            <w:r>
              <w:rPr>
                <w:sz w:val="21"/>
              </w:rPr>
              <w:t>序号</w:t>
            </w:r>
          </w:p>
        </w:tc>
        <w:tc>
          <w:tcPr>
            <w:tcW w:type="dxa" w:w="998"/>
            <w:tcBorders>
              <w:top w:val="single" w:color="000000" w:sz="4"/>
              <w:left w:val="none" w:color="000000" w:sz="4"/>
              <w:bottom w:val="single" w:color="000000" w:sz="4"/>
              <w:right w:val="single" w:color="000000" w:sz="4"/>
            </w:tcBorders>
            <w:shd w:fill="CCCCCC"/>
            <w:tcMar>
              <w:top w:type="dxa" w:w="0"/>
              <w:left w:type="dxa" w:w="105"/>
              <w:bottom w:type="dxa" w:w="0"/>
              <w:right w:type="dxa" w:w="105"/>
            </w:tcMar>
            <w:vAlign w:val="top"/>
          </w:tcPr>
          <w:p>
            <w:pPr>
              <w:pStyle w:val="null3"/>
              <w:jc w:val="both"/>
            </w:pPr>
            <w:r>
              <w:rPr>
                <w:sz w:val="21"/>
              </w:rPr>
              <w:t>感官指标</w:t>
            </w:r>
          </w:p>
        </w:tc>
        <w:tc>
          <w:tcPr>
            <w:tcW w:type="dxa" w:w="6220"/>
            <w:tcBorders>
              <w:top w:val="single" w:color="000000" w:sz="4"/>
              <w:left w:val="none" w:color="000000" w:sz="4"/>
              <w:bottom w:val="single" w:color="000000" w:sz="4"/>
              <w:right w:val="single" w:color="000000" w:sz="4"/>
            </w:tcBorders>
            <w:shd w:fill="CCCCCC"/>
            <w:tcMar>
              <w:top w:type="dxa" w:w="0"/>
              <w:left w:type="dxa" w:w="105"/>
              <w:bottom w:type="dxa" w:w="0"/>
              <w:right w:type="dxa" w:w="105"/>
            </w:tcMar>
            <w:vAlign w:val="top"/>
          </w:tcPr>
          <w:p>
            <w:pPr>
              <w:pStyle w:val="null3"/>
              <w:jc w:val="both"/>
            </w:pPr>
            <w:r>
              <w:rPr>
                <w:sz w:val="21"/>
              </w:rPr>
              <w:t>标准</w:t>
            </w:r>
          </w:p>
        </w:tc>
      </w:tr>
      <w:tr>
        <w:tc>
          <w:tcPr>
            <w:tcW w:type="dxa" w:w="1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p>
        </w:tc>
        <w:tc>
          <w:tcPr>
            <w:tcW w:type="dxa" w:w="9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形态</w:t>
            </w:r>
          </w:p>
        </w:tc>
        <w:tc>
          <w:tcPr>
            <w:tcW w:type="dxa" w:w="62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完整，无缺损、龟裂、凹坑，形状应与品种造型相符，表面光洁，无白粉和斑点。</w:t>
            </w:r>
          </w:p>
        </w:tc>
      </w:tr>
      <w:tr>
        <w:tc>
          <w:tcPr>
            <w:tcW w:type="dxa" w:w="1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p>
        </w:tc>
        <w:tc>
          <w:tcPr>
            <w:tcW w:type="dxa" w:w="9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色泽</w:t>
            </w:r>
          </w:p>
        </w:tc>
        <w:tc>
          <w:tcPr>
            <w:tcW w:type="dxa" w:w="62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表面呈金黄色或淡棕色，均匀一致，无烤焦、发白现象。</w:t>
            </w:r>
          </w:p>
        </w:tc>
      </w:tr>
      <w:tr>
        <w:tc>
          <w:tcPr>
            <w:tcW w:type="dxa" w:w="1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p>
        </w:tc>
        <w:tc>
          <w:tcPr>
            <w:tcW w:type="dxa" w:w="9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气味</w:t>
            </w:r>
          </w:p>
        </w:tc>
        <w:tc>
          <w:tcPr>
            <w:tcW w:type="dxa" w:w="62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应具有烘烤和发酵后的面包香味并具有经调配的仿香风味，无异味</w:t>
            </w:r>
          </w:p>
        </w:tc>
      </w:tr>
      <w:tr>
        <w:tc>
          <w:tcPr>
            <w:tcW w:type="dxa" w:w="1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p>
        </w:tc>
        <w:tc>
          <w:tcPr>
            <w:tcW w:type="dxa" w:w="9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口感</w:t>
            </w:r>
          </w:p>
        </w:tc>
        <w:tc>
          <w:tcPr>
            <w:tcW w:type="dxa" w:w="62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松软适口，不粘，不牙碜，无异味，无未溶化的糖、盐粗粒。</w:t>
            </w:r>
          </w:p>
        </w:tc>
      </w:tr>
      <w:tr>
        <w:tc>
          <w:tcPr>
            <w:tcW w:type="dxa" w:w="10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p>
        </w:tc>
        <w:tc>
          <w:tcPr>
            <w:tcW w:type="dxa" w:w="9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组织</w:t>
            </w:r>
          </w:p>
        </w:tc>
        <w:tc>
          <w:tcPr>
            <w:tcW w:type="dxa" w:w="62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细腻，有弹性，切面气孔大小均匀，纹理均匀清晰，呈海绵状，无明显大孔洞和局部过硬；切片后不断裂，并无明显掉渣。</w:t>
            </w:r>
          </w:p>
        </w:tc>
      </w:tr>
    </w:tbl>
    <w:p>
      <w:pPr>
        <w:pStyle w:val="null3"/>
        <w:ind w:firstLine="420"/>
        <w:jc w:val="both"/>
      </w:pPr>
      <w:r>
        <w:rPr>
          <w:sz w:val="21"/>
        </w:rPr>
        <w:t>5.3.蒸包类的资料标准：蒸包应按照《速冻面米制品》(GB19295-2011）中包子速冻预包装食品的标准执行。包装上必须清晰地列出产品品牌、型号、包装类型、包装方式、包装净重量、保存温度、生产日期和保质期等相关参数，且包装箱上必须贴有"SC"开头的14位数字食品生产许可证编号。</w:t>
      </w:r>
    </w:p>
    <w:tbl>
      <w:tblPr>
        <w:tblW w:w="0" w:type="auto"/>
        <w:tblBorders>
          <w:top w:val="none" w:color="000000" w:sz="4"/>
          <w:left w:val="none" w:color="000000" w:sz="4"/>
          <w:bottom w:val="none" w:color="000000" w:sz="4"/>
          <w:right w:val="none" w:color="000000" w:sz="4"/>
          <w:insideH w:val="none"/>
          <w:insideV w:val="none"/>
        </w:tblBorders>
      </w:tblPr>
      <w:tblGrid>
        <w:gridCol w:w="664"/>
        <w:gridCol w:w="1048"/>
        <w:gridCol w:w="2758"/>
        <w:gridCol w:w="3101"/>
        <w:gridCol w:w="731"/>
      </w:tblGrid>
      <w:tr>
        <w:tc>
          <w:tcPr>
            <w:tcW w:type="dxa" w:w="664"/>
            <w:tcBorders>
              <w:top w:val="single" w:color="000000" w:sz="4"/>
              <w:left w:val="single" w:color="000000" w:sz="4"/>
              <w:bottom w:val="single" w:color="000000" w:sz="4"/>
              <w:right w:val="single" w:color="000000" w:sz="4"/>
            </w:tcBorders>
            <w:shd w:fill="D0CECE"/>
            <w:tcMar>
              <w:top w:type="dxa" w:w="0"/>
              <w:left w:type="dxa" w:w="105"/>
              <w:bottom w:type="dxa" w:w="0"/>
              <w:right w:type="dxa" w:w="105"/>
            </w:tcMar>
            <w:vAlign w:val="top"/>
          </w:tcPr>
          <w:p>
            <w:pPr>
              <w:pStyle w:val="null3"/>
              <w:jc w:val="both"/>
            </w:pPr>
            <w:r>
              <w:rPr>
                <w:sz w:val="21"/>
              </w:rPr>
              <w:t>序号</w:t>
            </w:r>
          </w:p>
        </w:tc>
        <w:tc>
          <w:tcPr>
            <w:tcW w:type="dxa" w:w="1048"/>
            <w:tcBorders>
              <w:top w:val="single" w:color="000000" w:sz="4"/>
              <w:left w:val="none" w:color="000000" w:sz="4"/>
              <w:bottom w:val="single" w:color="000000" w:sz="4"/>
              <w:right w:val="single" w:color="000000" w:sz="4"/>
            </w:tcBorders>
            <w:shd w:fill="D0CECE"/>
            <w:tcMar>
              <w:top w:type="dxa" w:w="0"/>
              <w:left w:type="dxa" w:w="105"/>
              <w:bottom w:type="dxa" w:w="0"/>
              <w:right w:type="dxa" w:w="105"/>
            </w:tcMar>
            <w:vAlign w:val="top"/>
          </w:tcPr>
          <w:p>
            <w:pPr>
              <w:pStyle w:val="null3"/>
              <w:jc w:val="both"/>
            </w:pPr>
            <w:r>
              <w:rPr>
                <w:sz w:val="21"/>
              </w:rPr>
              <w:t>感官指标</w:t>
            </w:r>
          </w:p>
        </w:tc>
        <w:tc>
          <w:tcPr>
            <w:tcW w:type="dxa" w:w="2758"/>
            <w:tcBorders>
              <w:top w:val="single" w:color="000000" w:sz="4"/>
              <w:left w:val="none" w:color="000000" w:sz="4"/>
              <w:bottom w:val="single" w:color="000000" w:sz="4"/>
              <w:right w:val="single" w:color="000000" w:sz="4"/>
            </w:tcBorders>
            <w:shd w:fill="D0CECE"/>
            <w:tcMar>
              <w:top w:type="dxa" w:w="0"/>
              <w:left w:type="dxa" w:w="105"/>
              <w:bottom w:type="dxa" w:w="0"/>
              <w:right w:type="dxa" w:w="105"/>
            </w:tcMar>
            <w:vAlign w:val="top"/>
          </w:tcPr>
          <w:p>
            <w:pPr>
              <w:pStyle w:val="null3"/>
              <w:jc w:val="both"/>
            </w:pPr>
            <w:r>
              <w:rPr>
                <w:sz w:val="21"/>
              </w:rPr>
              <w:t>标准</w:t>
            </w:r>
          </w:p>
        </w:tc>
        <w:tc>
          <w:tcPr>
            <w:tcW w:type="dxa" w:w="3101"/>
            <w:tcBorders>
              <w:top w:val="single" w:color="000000" w:sz="4"/>
              <w:left w:val="none" w:color="000000" w:sz="4"/>
              <w:bottom w:val="single" w:color="000000" w:sz="4"/>
              <w:right w:val="single" w:color="000000" w:sz="4"/>
            </w:tcBorders>
            <w:shd w:fill="D0CECE"/>
            <w:tcMar>
              <w:top w:type="dxa" w:w="0"/>
              <w:left w:type="dxa" w:w="105"/>
              <w:bottom w:type="dxa" w:w="0"/>
              <w:right w:type="dxa" w:w="105"/>
            </w:tcMar>
            <w:vAlign w:val="top"/>
          </w:tcPr>
          <w:p>
            <w:pPr>
              <w:pStyle w:val="null3"/>
              <w:jc w:val="both"/>
            </w:pPr>
            <w:r>
              <w:rPr>
                <w:sz w:val="21"/>
              </w:rPr>
              <w:t>检验方法</w:t>
            </w:r>
          </w:p>
        </w:tc>
        <w:tc>
          <w:tcPr>
            <w:tcW w:type="dxa" w:w="731"/>
            <w:tcBorders>
              <w:top w:val="single" w:color="000000" w:sz="4"/>
              <w:left w:val="none" w:color="000000" w:sz="4"/>
              <w:bottom w:val="single" w:color="000000" w:sz="4"/>
              <w:right w:val="single" w:color="000000" w:sz="4"/>
            </w:tcBorders>
            <w:shd w:fill="D0CECE"/>
            <w:tcMar>
              <w:top w:type="dxa" w:w="0"/>
              <w:left w:type="dxa" w:w="105"/>
              <w:bottom w:type="dxa" w:w="0"/>
              <w:right w:type="dxa" w:w="105"/>
            </w:tcMar>
            <w:vAlign w:val="top"/>
          </w:tcPr>
          <w:p>
            <w:pPr>
              <w:pStyle w:val="null3"/>
              <w:jc w:val="both"/>
            </w:pPr>
            <w:r>
              <w:rPr>
                <w:sz w:val="21"/>
              </w:rPr>
              <w:t>备注</w:t>
            </w:r>
          </w:p>
        </w:tc>
      </w:tr>
      <w:tr>
        <w:tc>
          <w:tcPr>
            <w:tcW w:type="dxa" w:w="6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p>
        </w:tc>
        <w:tc>
          <w:tcPr>
            <w:tcW w:type="dxa" w:w="10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组织形态</w:t>
            </w:r>
          </w:p>
        </w:tc>
        <w:tc>
          <w:tcPr>
            <w:tcW w:type="dxa" w:w="27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完整，无缺损，形状应与品种造型相符，表面光洁，无白粉和斑点。</w:t>
            </w:r>
          </w:p>
        </w:tc>
        <w:tc>
          <w:tcPr>
            <w:tcW w:type="dxa" w:w="310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根据</w:t>
            </w:r>
            <w:r>
              <w:rPr>
                <w:sz w:val="21"/>
              </w:rPr>
              <w:t>GB/T5009-56规定的感官检验方法检查并按包装上标明的使用方法进行加热或熟制，分别尝和嗅闻，检查其滋味和气味。</w:t>
            </w:r>
          </w:p>
        </w:tc>
        <w:tc>
          <w:tcPr>
            <w:tcW w:type="dxa" w:w="7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both"/>
            </w:pPr>
          </w:p>
        </w:tc>
      </w:tr>
      <w:tr>
        <w:tc>
          <w:tcPr>
            <w:tcW w:type="dxa" w:w="6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p>
        </w:tc>
        <w:tc>
          <w:tcPr>
            <w:tcW w:type="dxa" w:w="10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色泽</w:t>
            </w:r>
          </w:p>
        </w:tc>
        <w:tc>
          <w:tcPr>
            <w:tcW w:type="dxa" w:w="27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均有该品种应有的色泽</w:t>
            </w:r>
          </w:p>
        </w:tc>
        <w:tc>
          <w:tcPr>
            <w:tcW w:type="dxa" w:w="3101"/>
            <w:vMerge/>
            <w:tcBorders>
              <w:top w:val="none" w:color="000000" w:sz="4"/>
              <w:left w:val="none" w:color="000000" w:sz="4"/>
              <w:bottom w:val="single" w:color="000000" w:sz="4"/>
              <w:right w:val="single" w:color="000000" w:sz="4"/>
            </w:tcBorders>
          </w:tcPr>
          <w:p/>
        </w:tc>
        <w:tc>
          <w:tcPr>
            <w:tcW w:type="dxa" w:w="7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both"/>
            </w:pPr>
          </w:p>
        </w:tc>
      </w:tr>
      <w:tr>
        <w:tc>
          <w:tcPr>
            <w:tcW w:type="dxa" w:w="6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p>
        </w:tc>
        <w:tc>
          <w:tcPr>
            <w:tcW w:type="dxa" w:w="10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滋味、气味</w:t>
            </w:r>
          </w:p>
        </w:tc>
        <w:tc>
          <w:tcPr>
            <w:tcW w:type="dxa" w:w="27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应具有该品种面包香味和气味，无异味。</w:t>
            </w:r>
          </w:p>
        </w:tc>
        <w:tc>
          <w:tcPr>
            <w:tcW w:type="dxa" w:w="3101"/>
            <w:vMerge/>
            <w:tcBorders>
              <w:top w:val="none" w:color="000000" w:sz="4"/>
              <w:left w:val="none" w:color="000000" w:sz="4"/>
              <w:bottom w:val="single" w:color="000000" w:sz="4"/>
              <w:right w:val="single" w:color="000000" w:sz="4"/>
            </w:tcBorders>
          </w:tcPr>
          <w:p/>
        </w:tc>
        <w:tc>
          <w:tcPr>
            <w:tcW w:type="dxa" w:w="7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both"/>
            </w:pPr>
          </w:p>
        </w:tc>
      </w:tr>
      <w:tr>
        <w:tc>
          <w:tcPr>
            <w:tcW w:type="dxa" w:w="6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p>
        </w:tc>
        <w:tc>
          <w:tcPr>
            <w:tcW w:type="dxa" w:w="10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杂质</w:t>
            </w:r>
          </w:p>
        </w:tc>
        <w:tc>
          <w:tcPr>
            <w:tcW w:type="dxa" w:w="27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外部及内部均无肉眼可见的杂质</w:t>
            </w:r>
          </w:p>
        </w:tc>
        <w:tc>
          <w:tcPr>
            <w:tcW w:type="dxa" w:w="3101"/>
            <w:vMerge/>
            <w:tcBorders>
              <w:top w:val="none" w:color="000000" w:sz="4"/>
              <w:left w:val="none" w:color="000000" w:sz="4"/>
              <w:bottom w:val="single" w:color="000000" w:sz="4"/>
              <w:right w:val="single" w:color="000000" w:sz="4"/>
            </w:tcBorders>
          </w:tcPr>
          <w:p/>
        </w:tc>
        <w:tc>
          <w:tcPr>
            <w:tcW w:type="dxa" w:w="7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both"/>
            </w:pPr>
          </w:p>
        </w:tc>
      </w:tr>
    </w:tbl>
    <w:p>
      <w:pPr>
        <w:pStyle w:val="null3"/>
        <w:jc w:val="both"/>
      </w:pPr>
      <w:r>
        <w:rPr>
          <w:sz w:val="21"/>
        </w:rPr>
        <w:t>5.4.米制产品（面类、粉类）质量标准及常规检验：</w:t>
      </w:r>
    </w:p>
    <w:tbl>
      <w:tblPr>
        <w:tblW w:w="0" w:type="auto"/>
        <w:tblBorders>
          <w:top w:val="none" w:color="000000" w:sz="4"/>
          <w:left w:val="none" w:color="000000" w:sz="4"/>
          <w:bottom w:val="none" w:color="000000" w:sz="4"/>
          <w:right w:val="none" w:color="000000" w:sz="4"/>
          <w:insideH w:val="none"/>
          <w:insideV w:val="none"/>
        </w:tblBorders>
      </w:tblPr>
      <w:tblGrid>
        <w:gridCol w:w="696"/>
        <w:gridCol w:w="999"/>
        <w:gridCol w:w="6610"/>
      </w:tblGrid>
      <w:tr>
        <w:tc>
          <w:tcPr>
            <w:tcW w:type="dxa" w:w="696"/>
            <w:tcBorders>
              <w:top w:val="single" w:color="000000" w:sz="4"/>
              <w:left w:val="single" w:color="000000" w:sz="4"/>
              <w:bottom w:val="single" w:color="000000" w:sz="4"/>
              <w:right w:val="single" w:color="000000" w:sz="4"/>
            </w:tcBorders>
            <w:shd w:fill="CCCCCC"/>
            <w:tcMar>
              <w:top w:type="dxa" w:w="0"/>
              <w:left w:type="dxa" w:w="105"/>
              <w:bottom w:type="dxa" w:w="0"/>
              <w:right w:type="dxa" w:w="105"/>
            </w:tcMar>
            <w:vAlign w:val="top"/>
          </w:tcPr>
          <w:p>
            <w:pPr>
              <w:pStyle w:val="null3"/>
              <w:jc w:val="both"/>
            </w:pPr>
            <w:r>
              <w:rPr>
                <w:sz w:val="21"/>
              </w:rPr>
              <w:t>序号</w:t>
            </w:r>
          </w:p>
        </w:tc>
        <w:tc>
          <w:tcPr>
            <w:tcW w:type="dxa" w:w="999"/>
            <w:tcBorders>
              <w:top w:val="single" w:color="000000" w:sz="4"/>
              <w:left w:val="none" w:color="000000" w:sz="4"/>
              <w:bottom w:val="single" w:color="000000" w:sz="4"/>
              <w:right w:val="single" w:color="000000" w:sz="4"/>
            </w:tcBorders>
            <w:shd w:fill="CCCCCC"/>
            <w:tcMar>
              <w:top w:type="dxa" w:w="0"/>
              <w:left w:type="dxa" w:w="105"/>
              <w:bottom w:type="dxa" w:w="0"/>
              <w:right w:type="dxa" w:w="105"/>
            </w:tcMar>
            <w:vAlign w:val="top"/>
          </w:tcPr>
          <w:p>
            <w:pPr>
              <w:pStyle w:val="null3"/>
              <w:jc w:val="both"/>
            </w:pPr>
            <w:r>
              <w:rPr>
                <w:sz w:val="21"/>
              </w:rPr>
              <w:t>指标</w:t>
            </w:r>
          </w:p>
        </w:tc>
        <w:tc>
          <w:tcPr>
            <w:tcW w:type="dxa" w:w="6610"/>
            <w:tcBorders>
              <w:top w:val="single" w:color="000000" w:sz="4"/>
              <w:left w:val="none" w:color="000000" w:sz="4"/>
              <w:bottom w:val="single" w:color="000000" w:sz="4"/>
              <w:right w:val="single" w:color="000000" w:sz="4"/>
            </w:tcBorders>
            <w:shd w:fill="CCCCCC"/>
            <w:tcMar>
              <w:top w:type="dxa" w:w="0"/>
              <w:left w:type="dxa" w:w="105"/>
              <w:bottom w:type="dxa" w:w="0"/>
              <w:right w:type="dxa" w:w="105"/>
            </w:tcMar>
            <w:vAlign w:val="top"/>
          </w:tcPr>
          <w:p>
            <w:pPr>
              <w:pStyle w:val="null3"/>
              <w:jc w:val="both"/>
            </w:pPr>
            <w:r>
              <w:rPr>
                <w:sz w:val="21"/>
              </w:rPr>
              <w:t>标准</w:t>
            </w:r>
          </w:p>
        </w:tc>
      </w:tr>
      <w:tr>
        <w:tc>
          <w:tcPr>
            <w:tcW w:type="dxa" w:w="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p>
        </w:tc>
        <w:tc>
          <w:tcPr>
            <w:tcW w:type="dxa" w:w="9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外观</w:t>
            </w:r>
          </w:p>
        </w:tc>
        <w:tc>
          <w:tcPr>
            <w:tcW w:type="dxa" w:w="66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片形大致均匀，平直，松散，无结疤，无并条，无酥脆及霉变现象的米粉为上品；否则为劣质品</w:t>
            </w:r>
          </w:p>
        </w:tc>
      </w:tr>
      <w:tr>
        <w:tc>
          <w:tcPr>
            <w:tcW w:type="dxa" w:w="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p>
        </w:tc>
        <w:tc>
          <w:tcPr>
            <w:tcW w:type="dxa" w:w="9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色泽</w:t>
            </w:r>
          </w:p>
        </w:tc>
        <w:tc>
          <w:tcPr>
            <w:tcW w:type="dxa" w:w="66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色泽光洁、有透明感、无斑点的米粉为上品；否则为劣质品</w:t>
            </w:r>
          </w:p>
        </w:tc>
      </w:tr>
      <w:tr>
        <w:tc>
          <w:tcPr>
            <w:tcW w:type="dxa" w:w="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p>
        </w:tc>
        <w:tc>
          <w:tcPr>
            <w:tcW w:type="dxa" w:w="9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嗅昧</w:t>
            </w:r>
          </w:p>
        </w:tc>
        <w:tc>
          <w:tcPr>
            <w:tcW w:type="dxa" w:w="66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无霉味、无酸味及异味的米粉为上品；否则为变质米粉</w:t>
            </w:r>
          </w:p>
        </w:tc>
      </w:tr>
      <w:tr>
        <w:tc>
          <w:tcPr>
            <w:tcW w:type="dxa" w:w="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w:t>
            </w:r>
          </w:p>
        </w:tc>
        <w:tc>
          <w:tcPr>
            <w:tcW w:type="dxa" w:w="9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烹调性</w:t>
            </w:r>
          </w:p>
        </w:tc>
        <w:tc>
          <w:tcPr>
            <w:tcW w:type="dxa" w:w="66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煮熟后有韧性，不粘条，不糊汤，无严重断条、无杂质的米粉为上品；否则为劣质品</w:t>
            </w:r>
          </w:p>
        </w:tc>
      </w:tr>
      <w:tr>
        <w:tc>
          <w:tcPr>
            <w:tcW w:type="dxa" w:w="6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w:t>
            </w:r>
          </w:p>
        </w:tc>
        <w:tc>
          <w:tcPr>
            <w:tcW w:type="dxa" w:w="9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包装</w:t>
            </w:r>
          </w:p>
        </w:tc>
        <w:tc>
          <w:tcPr>
            <w:tcW w:type="dxa" w:w="66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产品的包装可根据销售的要求，采用食品塑料袋密封或其他包装形式，也可以散装。包装的米粉、河粉应标明厂名、品名、重</w:t>
            </w:r>
            <w:r>
              <w:rPr>
                <w:sz w:val="21"/>
              </w:rPr>
              <w:t>(质)量、生产日期、检验员代号及出厂合格证等</w:t>
            </w:r>
          </w:p>
        </w:tc>
      </w:tr>
    </w:tbl>
    <w:p>
      <w:pPr>
        <w:pStyle w:val="null3"/>
        <w:jc w:val="both"/>
      </w:pPr>
      <w:r>
        <w:rPr>
          <w:sz w:val="21"/>
          <w:b/>
        </w:rPr>
        <w:t>五、人员要求：</w:t>
      </w:r>
    </w:p>
    <w:p>
      <w:pPr>
        <w:pStyle w:val="null3"/>
        <w:ind w:firstLine="420"/>
        <w:jc w:val="left"/>
      </w:pPr>
      <w:r>
        <w:rPr>
          <w:sz w:val="21"/>
        </w:rPr>
        <w:t>1.成交供应商必须派遣经体检合格的持有健康证的工作人员参与本项目的工作。</w:t>
      </w:r>
    </w:p>
    <w:p>
      <w:pPr>
        <w:pStyle w:val="null3"/>
        <w:ind w:firstLine="420"/>
        <w:jc w:val="left"/>
      </w:pPr>
      <w:r>
        <w:rPr>
          <w:sz w:val="21"/>
        </w:rPr>
        <w:t>2.成交供应商具有固定的专职服务人员，成交供应商需将与本项目相关人员的劳动合同、成交供应商单位购买的社保证明及其健康证交采购人备案。</w:t>
      </w:r>
    </w:p>
    <w:p>
      <w:pPr>
        <w:pStyle w:val="null3"/>
        <w:ind w:firstLine="420"/>
        <w:jc w:val="left"/>
      </w:pPr>
      <w:r>
        <w:rPr>
          <w:sz w:val="21"/>
        </w:rPr>
        <w:t>3.成交供应商指定的配送专员必须穿着便于辨认的工衣和配戴胸卡，配送专员在采购人活动必须严格遵守采购人各项规章制度，不得做出有损采购人形象和利益的事情。成交供应商应将配送专员的名单向采购人登记，若有变更的，应向采购人作出变更登记。</w:t>
      </w:r>
    </w:p>
    <w:p>
      <w:pPr>
        <w:pStyle w:val="null3"/>
        <w:ind w:firstLine="420"/>
        <w:jc w:val="both"/>
      </w:pPr>
      <w:r>
        <w:rPr>
          <w:sz w:val="21"/>
        </w:rPr>
        <w:t>4.成交供应商须对配送人员严格管理，对他们的行为负全责。配送人员在采购人单位内的一切行为须严格遵守法律法规、安全规范及采购人的各项规章制度等，若配送人员出现损害采购人形象和利益、意外伤亡事故或触犯国家法律等情况的，由成交供应商承担一切经济责任及法律责任。</w:t>
      </w:r>
    </w:p>
    <w:p>
      <w:pPr>
        <w:pStyle w:val="null3"/>
        <w:ind w:firstLine="480"/>
        <w:jc w:val="both"/>
      </w:pPr>
      <w:r>
        <w:rPr>
          <w:sz w:val="21"/>
          <w:b/>
        </w:rPr>
        <w:t>六、任务分配</w:t>
      </w:r>
    </w:p>
    <w:p>
      <w:pPr>
        <w:pStyle w:val="null3"/>
        <w:ind w:firstLine="420"/>
        <w:jc w:val="both"/>
      </w:pPr>
      <w:r>
        <w:rPr>
          <w:sz w:val="21"/>
        </w:rPr>
        <w:t>1、本项目</w:t>
      </w:r>
      <w:r>
        <w:rPr>
          <w:sz w:val="21"/>
        </w:rPr>
        <w:t>原则上是以成交结果排名先后顺序分配任务，两名成交供应商轮流承接一个月。</w:t>
      </w:r>
    </w:p>
    <w:p>
      <w:pPr>
        <w:pStyle w:val="null3"/>
        <w:ind w:firstLine="420"/>
        <w:jc w:val="both"/>
      </w:pPr>
      <w:r>
        <w:rPr>
          <w:sz w:val="21"/>
        </w:rPr>
        <w:t>2、以考核标准作为承接任务依据，当考核当月考核评分低于80分（不含80分）的，则</w:t>
      </w:r>
      <w:r>
        <w:rPr>
          <w:sz w:val="21"/>
        </w:rPr>
        <w:t>暂停其下一次轮月</w:t>
      </w:r>
      <w:r>
        <w:rPr>
          <w:sz w:val="21"/>
        </w:rPr>
        <w:t>承接任务资格，即由另一成交供应商连续承接三个月任务，以此类推。</w:t>
      </w:r>
    </w:p>
    <w:p>
      <w:pPr>
        <w:pStyle w:val="null3"/>
        <w:ind w:firstLine="480"/>
        <w:jc w:val="both"/>
      </w:pPr>
      <w:r>
        <w:rPr>
          <w:sz w:val="21"/>
        </w:rPr>
        <w:t>附件：</w:t>
      </w:r>
    </w:p>
    <w:p>
      <w:pPr>
        <w:pStyle w:val="null3"/>
        <w:ind w:firstLine="480"/>
        <w:jc w:val="center"/>
      </w:pPr>
      <w:r>
        <w:rPr>
          <w:sz w:val="21"/>
          <w:b/>
        </w:rPr>
        <w:t>政府采购供应商资格信用承诺函</w:t>
      </w:r>
    </w:p>
    <w:p>
      <w:pPr>
        <w:pStyle w:val="null3"/>
        <w:ind w:firstLine="480"/>
        <w:jc w:val="both"/>
      </w:pPr>
      <w:r>
        <w:rPr>
          <w:sz w:val="21"/>
        </w:rPr>
        <w:t>致：（采购人、采购代理机构）</w:t>
      </w:r>
    </w:p>
    <w:p>
      <w:pPr>
        <w:pStyle w:val="null3"/>
        <w:ind w:firstLine="480"/>
        <w:jc w:val="both"/>
      </w:pPr>
      <w:r>
        <w:rPr>
          <w:sz w:val="21"/>
        </w:rPr>
        <w:t>我方参与</w:t>
      </w:r>
      <w:r>
        <w:rPr>
          <w:sz w:val="21"/>
          <w:u w:val="single"/>
        </w:rPr>
        <w:t>（项目名称）（项目编号：）</w:t>
      </w:r>
      <w:r>
        <w:rPr>
          <w:sz w:val="21"/>
        </w:rPr>
        <w:t>的政府采购活动，现承诺如下：</w:t>
      </w:r>
    </w:p>
    <w:p>
      <w:pPr>
        <w:pStyle w:val="null3"/>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pStyle w:val="null3"/>
        <w:ind w:firstLine="480"/>
        <w:jc w:val="both"/>
      </w:pPr>
      <w:r>
        <w:rPr>
          <w:sz w:val="21"/>
        </w:rPr>
        <w:t>若我方以上承诺不实，自愿承担提供虚假材料谋取中标、成交的法律责任。</w:t>
      </w:r>
    </w:p>
    <w:p>
      <w:pPr>
        <w:pStyle w:val="null3"/>
        <w:ind w:firstLine="480"/>
        <w:jc w:val="both"/>
      </w:pPr>
      <w:r>
        <w:rPr>
          <w:sz w:val="21"/>
        </w:rPr>
        <w:t>承诺供应商（全称并加盖公章）：</w:t>
      </w:r>
    </w:p>
    <w:p>
      <w:pPr>
        <w:pStyle w:val="null3"/>
        <w:ind w:firstLine="960"/>
        <w:jc w:val="both"/>
      </w:pPr>
      <w:r>
        <w:rPr>
          <w:sz w:val="21"/>
        </w:rPr>
        <w:t>日期：</w:t>
      </w:r>
    </w:p>
    <w:p>
      <w:pPr>
        <w:pStyle w:val="null3"/>
      </w:pPr>
      <w:r>
        <w:rPr>
          <w:sz w:val="21"/>
        </w:rPr>
        <w:t>说明：供应商可自行选择是否提供本承诺函，若不提供本承诺函，应按《中华人民共和国政府采购法》《中华人民共和国政府采购法实施条例》及采购文件资格要求提供相应的证明材料。</w:t>
      </w:r>
    </w:p>
    <w:p>
      <w:pPr>
        <w:pStyle w:val="null3"/>
      </w:pPr>
      <w:r>
        <w:rPr/>
        <w:t>采购包1（2025年食堂食材配送服务）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自合同签订生效之日起一年。</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1期：支付比例100%,（1）按月结算，每月30号前结算上月货款； （2）（汇总各类供应品）每日的结算金额＝（各类供应品）每周平均零售价×（各类供应品）每日实际供货量×中标折扣率。每月的结算金额＝（汇总各类供应品）每日的结算金额合计。 （3）凭以下有效的文件支付合同款： 1）合同； 2）成交供应商开具正式的发票； 3）验收报告书（加盖采购人公章）； 4）成交通知书。 （4）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1期：1、食品供货要求：（1）采购人提前一天以邮件、传真或电话方式向成交供应商下订单，订单内容包括肉菜食品的名称、规格、数量等。 （2）成交供应商须在接到采购人订单之日的第二天将早餐材料需在6:45前，午餐材料需在9：15前送至采购人指定地点。如果采购人临时增加订购的货物种类、规格、数量等，成交供应商须在接到通知后的90分钟内将货物送达，待采购人验收、核对后，供货才算完成。 （3）食品运输必须采用符合卫生标准的外包装和运载工具，并且要保持清洁和定期消毒。运输车的内仓，包括地面、墙面和顶，应使用抗腐蚀、防潮，易清洁消毒的材料，车厢内无不良气味、异味。 （4）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 （5）送货车辆应保持清洁：食品堆放科学合理，避免造成食品的交叉污染；如对温度有要求的食品应确定食品的温度，记录送货车辆温度，并记录存档。 （6）成交供应商保证所提供的蔬菜类、鲜肉类、生禽、鲜水产的多样性和季节性，以保证新鲜感。 2、食品验收：（1）成交供应商所提供的货物必须符合卫生标准和营养要求、无毒、无害、具有良好的感官性状以及满足采购人的要求，每次送交的所有货物都要注明来源；否则，采购人有权退货，成交供应商必须在60 分钟内予以退换补货。成交供应商在每一次送货时，要将肉菜等的卫生检验报告一并交到采购人指定的负责人手中。 （2）食品应清洁，并符合企业相关验收标准：食品应无损伤、腐烂现象，无寄生虫或已受虫害现象；对温度有要求的食品应确定食品的温度与包装上标示的一致。 （3）食品到达目的地时外包装完整，冷冻食品没有曾经解冻的痕迹或软化现象，包装呈干爽状态。对食品检查如下：响应供应商供应的食品必须符合食品卫生要求及国家有关标准，如无标准，按行业规范。采购生产、经营证明文件齐备，明确食品来源，并具有检验合格证明。严禁采购有害、有毒、腐烂变质、败酸、霉变生虫、污垢不洁、混有异物或其他感官性状异常的食品。禁止采购超过保质期限的食品。 （4）货品的等级、质量须符合国家质检部门及卫生部门的相关规定，并提供该批（次）货物的有效的卫生质量合格证或检验结果评价报告书等证明材料。若采购人发现所供货物不符合卫生规定的，采购人有权拒收。 （5）采购人发现货物出现损坏（包括表面损坏），或出现水渍、串味、受潮等导致货物性质改变的，成交供应商必须无条件退货或更换商品。 （6）成交供应商须委派一名专职人员负责送货，负责货物的运输、过秤，并协助采购人验收货品，货品的品种和重量以采购人验收的结果为准。</w:t>
            </w:r>
          </w:p>
        </w:tc>
      </w:tr>
      <w:tr>
        <w:tc>
          <w:tcPr>
            <w:tcW w:type="dxa" w:w="4153"/>
          </w:tcPr>
          <w:p>
            <w:pPr>
              <w:pStyle w:val="null3"/>
            </w:pPr>
            <w:r>
              <w:rPr/>
              <w:t>履约保证金</w:t>
            </w:r>
          </w:p>
        </w:tc>
        <w:tc>
          <w:tcPr>
            <w:tcW w:type="dxa" w:w="4153"/>
          </w:tcPr>
          <w:p>
            <w:pPr>
              <w:pStyle w:val="null3"/>
            </w:pPr>
            <w:r>
              <w:rPr/>
              <w:t>收取比例：5%,说明：（1）履约保证金用于补偿采购人因成交供应商不能完全履行其合同义务而蒙受的损失，履约保证金不足以弥补采购人实际损失的，成交供应商应继续赔偿。（2）履约保证金：人民币6.85万元，成交供应商在与采购人签订本项目合同之日起5个工作日内通过银行转账的形式转入采购人指定的账户。否则，成交供应商视作自动放弃中标。在成交供应商无违约的情况下，服务期满后15个工作日内一次性无息退还。如在服务期内，成交供应商在考核中出现两次考核得分低于80分（不含80分）的或自行停止合约或违反服务合同有关规定被采购人终止合约的，则履约保证金归采购人所有。（3）在本项目服务合同执行期间，如因成交供应商的过失或工作不配合的原因造成采购人经济损失的，采购人有权根据损失的数额直接在履约保证金中扣除并书面通知成交供应商（采用银行保函的履约保证金形式，采购人有权向担保银行承兑并通知成交供应商）。成交供应商在收到采购人的通知后，应在3个工作日内补足被扣除的保证金，或出具新的银行保函，否则采购人有权终止合同。 如成交供应商未能在约定的时间内提交履约保证金的，采购人有权终止合同并没收履约保证金（包括补足部分），由此带来成交供应商的一切损失由成交供应商自行承担。（4）除不可抗力原因外，采购人须及时返还履约保证金，否则采购人每日按履约保证金金额的3‰向成交供应商偿付违约金。</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一、报价要求，1、响应供应商的投标结算系数（折扣率）的有效报价范围：0%﹤投标结算系数≤100%。投标结算系数必须为固定的报价（如85.5%），不得存在区间值，统一对本项目报一个投标结算系数，不接受有选择性报价，且所报的投标结算系数应当适用于每种食材。 2、（汇总各类供应品）每日的结算金额＝（各类供应品）每周平均零售价×（各类供应品）每日实际供货量×中标结算系数。每月的结算金额＝（汇总各类供应品）每日的结算金额合计。【以9月23日供应土豆为例，《农副产品价格信息》公布9月19日至23日土豆的周平均零售价是3.13元/500克，9月23日供货量是5000克，中标结算系数（即成交供应商投标折扣率）是80%，则：9月23日土豆的结算金额=周平均零售价×实际供货量×中标折扣率=3.13元/500克×5000克×80%=25.04元】 3、禁止报价低于成本价。磋商小组认为响应供应商的报价明显低于其他通过符合性审查响应供应商的报价，有可能影响产品质量或者不能诚信履约的，应当要求其在评标现场合理的时间内提供书面说明，必要时提交相关证明材料；响应供应商不能证明其报价合理性的，磋商小组应当将其作为无效投标处理。</w:t>
            </w:r>
          </w:p>
          <w:p>
            <w:pPr>
              <w:pStyle w:val="null3"/>
            </w:pPr>
            <w:r>
              <w:rPr/>
              <w:t>二、服务要求，1、成交供应商应当制定特殊情况应急方案,提供因采购人单位临时加班、特别委派任务、重要的政府活动等配送方案，及自然灾害预案、因食物中毒或者其他食源性疾患、交通、天气等原因不能按时送达配餐等突发事件的应急预案，确保采购人及时得到食品供应。 2、成交供应商须严格按照采购人的指令配送商品的数量，不得随意增减数量，否则采购人有权拒收。如因市场流通问题确实需要变更的，应事先书面申请，并经采购人同意后方可改变。3、除客观不可抗力外，成交供应商不得更改送货内容。如确需变更供货内容的，成交供应商应在得知情况的同时告知采购人并征得采购人的同意，经发现成交供应商有私自更改供货内容时以违约论处，由此产生的一切损失和费用由成交供应商承担。 4、成交供应商不能提供与其承诺相符的服务或成交供应商存在违反招标文件和合同的行为，并且不予纠正的，将视为违约。此项下违约责任包括但不限于下列各项： 1）成交供应商在收到采购人订货要求后，在承诺的供货时间内不能供货的； 2）成交供应商未能提供承诺的服务的。 5、成交供应商所提供的货物在保质期出现损坏的，成交供应商应承诺提供替换服务，因替换货物产生的费用由成交供应商负责。 6、成交供应商指定的送货专员必须穿着便于辨认的工衣和配戴胸卡，送货专员活动必须严格遵守采购人各项规章制度，不得做出有损采购人形象和利益的事情。 7、确实为成交供应商提供的食品问题，成交供应商除需负担全数之医药费外。除没收履约保证金外，采购人取消成交供应商供货合同，成交供应商同时承担相应的民事及刑事法律责任及放弃先诉抗辩权。 8、因成交人违法经营被行政主管部门处以停业整顿或取缔、或因经营不善造成不能正常供餐的，采购人没收全部履约保证金，并解除其合同关系。</w:t>
            </w:r>
          </w:p>
          <w:p>
            <w:pPr>
              <w:pStyle w:val="null3"/>
            </w:pPr>
            <w:r>
              <w:rPr/>
              <w:t>三、供货价格执行标准，1、肉类、瓜菜、肉禽、水产、果蔬和干货类等物品零售价统一根据佛山市发展和改革局公布的 《农副产品价格信息》（http://fsdr.foshan.gov.cn/fsfgj/fhj/bmcx/jgcx/nfcp/qsjg/）定价。价格每个星期为一个周期，按佛山市公布的每周平均零售价作为本周的结算依据。</w:t>
            </w:r>
          </w:p>
          <w:p>
            <w:pPr>
              <w:pStyle w:val="null3"/>
            </w:pPr>
            <w:r>
              <w:rPr/>
              <w:t>四、考核标准，1、本考核办法以每一个月为一个考核周期，考核满分为100分，采购人将根据考核期间的货物供应量结合考核得分情况支付货款项。如成交供应商在考核中出现两次考核得分低于80分（不含80分），采购人没收成交供应商履约保证金。 2、如因肉菜质量问题造成集体卫生安全事故【5人（含）或以上属于集体卫生安全事故】，成交供应商须负一切责任并且采购人有权利取消其服务资格。 3、考核标准详见附件。</w:t>
            </w:r>
          </w:p>
          <w:p>
            <w:pPr>
              <w:pStyle w:val="null3"/>
            </w:pPr>
            <w:r>
              <w:rPr/>
              <w:t>五、扶贫政策，根据上级扶贫工作要求，如采购人需定向采购贫困地区的农副产品的，具体扶贫采购工作由采购人根据上级相关部门的要求和安排进行采购实施，由采购人自行按规定采购，定向采购的贫困地区农副产品金额包含在本项目预算金额内。</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其他服务</w:t>
            </w:r>
          </w:p>
        </w:tc>
        <w:tc>
          <w:tcPr>
            <w:tcW w:type="dxa" w:w="831"/>
          </w:tcPr>
          <w:p>
            <w:pPr>
              <w:pStyle w:val="null3"/>
              <w:jc w:val="left"/>
            </w:pPr>
            <w:r>
              <w:rPr/>
              <w:t>2025年食堂食材配送服务</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1,370,000.00</w:t>
            </w:r>
          </w:p>
        </w:tc>
        <w:tc>
          <w:tcPr>
            <w:tcW w:type="dxa" w:w="831"/>
          </w:tcPr>
          <w:p>
            <w:pPr>
              <w:pStyle w:val="null3"/>
              <w:jc w:val="right"/>
            </w:pPr>
            <w:r>
              <w:rPr/>
              <w:t>1,370,000.00</w:t>
            </w:r>
          </w:p>
        </w:tc>
        <w:tc>
          <w:tcPr>
            <w:tcW w:type="dxa" w:w="831"/>
          </w:tcPr>
          <w:p>
            <w:pPr>
              <w:pStyle w:val="null3"/>
            </w:pPr>
            <w:r>
              <w:rPr/>
              <w:t>100.0</w:t>
            </w:r>
          </w:p>
        </w:tc>
        <w:tc>
          <w:tcPr>
            <w:tcW w:type="dxa" w:w="831"/>
          </w:tcPr>
          <w:p>
            <w:pPr>
              <w:pStyle w:val="null3"/>
            </w:pPr>
            <w:r>
              <w:rPr/>
              <w:t>批发业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2025年食堂食材配送服务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rPr>
              <w:t>内容见用户需求书。</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1.采购代理机构：本项目是指佛山市粤创招标代理有限公司，负责整个采购活动的组织，依法负责编制和发布磋商文件，对磋商文件拥有最终的解释权，不以任何身份出任磋商小组成员。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佛山市三水区人民检察院</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采购包1：折扣率</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采购包1：0% - 100%</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2家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采购机构代理服务收费标准：定额收取20000元,向各中标人均摊收取。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主持人开启远程解密起30分钟内完成。</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佛山市粤创招标代理有限公司</w:t>
      </w:r>
      <w:r>
        <w:rPr/>
        <w:t>代收。具体操作要求详见</w:t>
      </w:r>
      <w:r>
        <w:rPr/>
        <w:t>佛山市粤创招标代理有限公司</w:t>
      </w:r>
      <w:r>
        <w:rPr/>
        <w:t>有关指引，递交事宜请自行咨询</w:t>
      </w:r>
      <w:r>
        <w:rPr/>
        <w:t>佛山市粤创招标代理有限公司</w:t>
      </w:r>
      <w:r>
        <w:rPr/>
        <w:t>；请各供应商在响应文件递交截止时间前按须知前附表规定的金额递交至</w:t>
      </w:r>
      <w:r>
        <w:rPr/>
        <w:t>佛山市粤创招标代理有限公司</w:t>
      </w:r>
      <w:r>
        <w:rPr/>
        <w:t>，到账情况以开启时</w:t>
      </w:r>
      <w:r>
        <w:rPr/>
        <w:t>佛山市粤创招标代理有限公司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广东省公共资源交易平台（佛山）（https://ygp.gdzwfw.gov.cn/#/440600/index），采购机构网址（ http://www.fsyczb.com/）</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广东省公共资源交易平台（佛山）（https://ygp.gdzwfw.gov.cn/#/440600/index），采购机构网址（ http://www.fsyczb.com/）</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黄小姐</w:t>
      </w:r>
    </w:p>
    <w:p>
      <w:pPr>
        <w:pStyle w:val="null3"/>
        <w:ind w:firstLine="480"/>
      </w:pPr>
      <w:r>
        <w:rPr/>
        <w:t>电话：</w:t>
      </w:r>
      <w:r>
        <w:rPr/>
        <w:t>0757-86260021</w:t>
      </w:r>
    </w:p>
    <w:p>
      <w:pPr>
        <w:pStyle w:val="null3"/>
        <w:ind w:firstLine="480"/>
      </w:pPr>
      <w:r>
        <w:rPr/>
        <w:t>传真：</w:t>
      </w:r>
      <w:r>
        <w:rPr/>
        <w:t>0757-86260021</w:t>
      </w:r>
    </w:p>
    <w:p>
      <w:pPr>
        <w:pStyle w:val="null3"/>
        <w:ind w:firstLine="480"/>
      </w:pPr>
      <w:r>
        <w:rPr/>
        <w:t>邮箱：</w:t>
      </w:r>
      <w:r>
        <w:rPr/>
        <w:t>FSSYCZB@126.com</w:t>
      </w:r>
    </w:p>
    <w:p>
      <w:pPr>
        <w:pStyle w:val="null3"/>
        <w:ind w:firstLine="480"/>
      </w:pPr>
      <w:r>
        <w:rPr/>
        <w:t>地址：</w:t>
      </w:r>
      <w:r>
        <w:rPr/>
        <w:t>佛山市南海区石龙南路1号嘉邦国金中心2座22楼2208</w:t>
      </w:r>
    </w:p>
    <w:p>
      <w:pPr>
        <w:pStyle w:val="null3"/>
        <w:ind w:firstLine="480"/>
      </w:pPr>
      <w:r>
        <w:rPr/>
        <w:t>邮编：</w:t>
      </w:r>
      <w:r>
        <w:rPr/>
        <w:t>528000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pPr>
      <w:r>
        <w:rPr/>
        <w:t>传 真：020-83357559</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采购包1(2025年食堂食材配送服务)：综合评分法,是指响应文件满足磋商文件全部实质性要求，且按照评审因素的量化指标评审得分最高的投标人为成交候选人的评标方法。（最低报价不是成交的唯一依据。）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佛山市粤创招标代理有限公司</w:t>
      </w:r>
      <w:r>
        <w:rPr/>
        <w:t>统一对外发布。</w:t>
      </w:r>
    </w:p>
    <w:p>
      <w:pPr>
        <w:pStyle w:val="null3"/>
        <w:ind w:firstLine="480"/>
      </w:pPr>
      <w:r>
        <w:rPr/>
        <w:t>（2）对</w:t>
      </w:r>
      <w:r>
        <w:rPr/>
        <w:t>佛山市粤创招标代理有限公司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4.7供应商上传的电子响应文件使用该项目其他响应供应商的数字证书加密的或加盖该项目的其他响应供应商的电子印章的。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采购包1（2025年食堂食材配送服务）：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采购包1（2025年食堂食材配送服务）：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提供《政府采购供应商资格信用承诺函》或2024年任意1个月依法缴纳税收和社会保障资金的相关材料。 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供应商必须具有良好的商业信誉和健全的财务会计制度（提供《政府采购供应商资格信用承诺函》或2023年度财务状况报告或基本开户行出具的资信证明）。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提供设备和专业技术能力的清单或提供书面声明（格式自拟）。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或提供《政府采购供应商资格信用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 为本项目提供整体设计、规范编制或者项目管理、监理、检测等服务的供应商，不得再参与本项目投标（响应）。投标（报价）函相关承诺要求内容。</w:t>
            </w:r>
          </w:p>
        </w:tc>
      </w:tr>
      <w:tr>
        <w:tc>
          <w:tcPr>
            <w:tcW w:type="dxa" w:w="890"/>
          </w:tcPr>
          <w:p>
            <w:pPr>
              <w:pStyle w:val="null3"/>
            </w:pPr>
            <w:r>
              <w:rPr/>
              <w:t>8</w:t>
            </w:r>
          </w:p>
        </w:tc>
        <w:tc>
          <w:tcPr>
            <w:tcW w:type="dxa" w:w="3178"/>
          </w:tcPr>
          <w:p>
            <w:pPr>
              <w:pStyle w:val="null3"/>
            </w:pPr>
            <w:r>
              <w:rPr/>
              <w:t>企业资质</w:t>
            </w:r>
          </w:p>
        </w:tc>
        <w:tc>
          <w:tcPr>
            <w:tcW w:type="dxa" w:w="4238"/>
          </w:tcPr>
          <w:p>
            <w:pPr>
              <w:pStyle w:val="null3"/>
            </w:pPr>
            <w:r>
              <w:rPr/>
              <w:t>供应商具有有效的《食品经营许可证》或《食品生产许可证》，如有合并到营业执照的，须提供扫描营业执照二维码后的有效备案信息截图。</w:t>
            </w:r>
          </w:p>
        </w:tc>
      </w:tr>
      <w:tr>
        <w:tc>
          <w:tcPr>
            <w:tcW w:type="dxa" w:w="890"/>
          </w:tcPr>
          <w:p>
            <w:pPr>
              <w:pStyle w:val="null3"/>
            </w:pPr>
            <w:r>
              <w:rPr/>
              <w:t>9</w:t>
            </w:r>
          </w:p>
        </w:tc>
        <w:tc>
          <w:tcPr>
            <w:tcW w:type="dxa" w:w="3178"/>
          </w:tcPr>
          <w:p>
            <w:pPr>
              <w:pStyle w:val="null3"/>
            </w:pPr>
            <w:r>
              <w:rPr/>
              <w:t>本项目不接受联合体响应</w:t>
            </w:r>
          </w:p>
        </w:tc>
        <w:tc>
          <w:tcPr>
            <w:tcW w:type="dxa" w:w="4238"/>
          </w:tcPr>
          <w:p>
            <w:pPr>
              <w:pStyle w:val="null3"/>
            </w:pPr>
            <w:r>
              <w:rPr/>
              <w:t>本项目不接受联合体响应。</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采购包整体专门面向中小企业。供应商须符合本项目采购标的对应行业（批发业） 政策划分标准的中小企业。监狱企业、残疾人福利单位视同小型、微型企业。注：本采购项目属性为服务类，中小企业应填写的《中小企业声明函（工程、服务）》为判定标准，残疾人福利性单位填写的《残疾人福利性单位声明函》为判定标准，监狱企业须供应商提供由省级以上监狱管理局、戒毒管理局（含新疆生产建设兵团）出具的属于监狱企业的证明文件，否则不予认定。</w:t>
            </w:r>
          </w:p>
        </w:tc>
      </w:tr>
    </w:tbl>
    <w:p>
      <w:pPr>
        <w:pStyle w:val="null3"/>
        <w:ind w:firstLine="480"/>
      </w:pPr>
      <w:r>
        <w:rPr/>
        <w:t>表二符合性审查表：</w:t>
      </w:r>
    </w:p>
    <w:p>
      <w:pPr>
        <w:pStyle w:val="null3"/>
      </w:pPr>
      <w:r>
        <w:rPr/>
        <w:t>采购包1（2025年食堂食材配送服务）：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响应承诺函已提交并符合招标文件要求的</w:t>
            </w:r>
          </w:p>
        </w:tc>
        <w:tc>
          <w:tcPr>
            <w:tcW w:type="dxa" w:w="4238"/>
          </w:tcPr>
          <w:p>
            <w:pPr>
              <w:pStyle w:val="null3"/>
            </w:pPr>
            <w:r>
              <w:rPr/>
              <w:t>响应承诺函已提交并符合招标文件要求的。</w:t>
            </w:r>
          </w:p>
        </w:tc>
      </w:tr>
      <w:tr>
        <w:tc>
          <w:tcPr>
            <w:tcW w:type="dxa" w:w="890"/>
          </w:tcPr>
          <w:p>
            <w:pPr>
              <w:pStyle w:val="null3"/>
            </w:pPr>
            <w:r>
              <w:rPr/>
              <w:t>2</w:t>
            </w:r>
          </w:p>
        </w:tc>
        <w:tc>
          <w:tcPr>
            <w:tcW w:type="dxa" w:w="3178"/>
          </w:tcPr>
          <w:p>
            <w:pPr>
              <w:pStyle w:val="null3"/>
            </w:pPr>
            <w:r>
              <w:rPr/>
              <w:t>法定代表人证明书、法定代表人授权委托书（如有） 已提交并符合招标文件要求的</w:t>
            </w:r>
          </w:p>
        </w:tc>
        <w:tc>
          <w:tcPr>
            <w:tcW w:type="dxa" w:w="4238"/>
          </w:tcPr>
          <w:p>
            <w:pPr>
              <w:pStyle w:val="null3"/>
            </w:pPr>
            <w:r>
              <w:rPr/>
              <w:t>法定代表人证明书、法定代表人授权委托书（如有） 已提交并符合招标文件要求的。</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0%﹤投标结算系数≤100%，且是固定唯一值的，如有小数点请保留两位以内有效小数。</w:t>
            </w:r>
          </w:p>
        </w:tc>
      </w:tr>
      <w:tr>
        <w:tc>
          <w:tcPr>
            <w:tcW w:type="dxa" w:w="890"/>
          </w:tcPr>
          <w:p>
            <w:pPr>
              <w:pStyle w:val="null3"/>
            </w:pPr>
            <w:r>
              <w:rPr/>
              <w:t>4</w:t>
            </w:r>
          </w:p>
        </w:tc>
        <w:tc>
          <w:tcPr>
            <w:tcW w:type="dxa" w:w="3178"/>
          </w:tcPr>
          <w:p>
            <w:pPr>
              <w:pStyle w:val="null3"/>
            </w:pPr>
            <w:r>
              <w:rPr/>
              <w:t>如有报价修正，投标人按规定要求书面确认的</w:t>
            </w:r>
          </w:p>
        </w:tc>
        <w:tc>
          <w:tcPr>
            <w:tcW w:type="dxa" w:w="4238"/>
          </w:tcPr>
          <w:p>
            <w:pPr>
              <w:pStyle w:val="null3"/>
            </w:pPr>
            <w:r>
              <w:rPr/>
              <w:t>如有报价修正，投标人按规定要求书面确认的。</w:t>
            </w:r>
          </w:p>
        </w:tc>
      </w:tr>
      <w:tr>
        <w:tc>
          <w:tcPr>
            <w:tcW w:type="dxa" w:w="890"/>
          </w:tcPr>
          <w:p>
            <w:pPr>
              <w:pStyle w:val="null3"/>
            </w:pPr>
            <w:r>
              <w:rPr/>
              <w:t>5</w:t>
            </w:r>
          </w:p>
        </w:tc>
        <w:tc>
          <w:tcPr>
            <w:tcW w:type="dxa" w:w="3178"/>
          </w:tcPr>
          <w:p>
            <w:pPr>
              <w:pStyle w:val="null3"/>
            </w:pPr>
            <w:r>
              <w:rPr/>
              <w:t>满足招标文件中要求的实质性响应条款的（即标注★号条款）</w:t>
            </w:r>
          </w:p>
        </w:tc>
        <w:tc>
          <w:tcPr>
            <w:tcW w:type="dxa" w:w="4238"/>
          </w:tcPr>
          <w:p>
            <w:pPr>
              <w:pStyle w:val="null3"/>
            </w:pPr>
            <w:r>
              <w:rPr/>
              <w:t>满足招标文件中要求的实质性响应条款的（即标注★号条款）。</w:t>
            </w:r>
          </w:p>
        </w:tc>
      </w:tr>
      <w:tr>
        <w:tc>
          <w:tcPr>
            <w:tcW w:type="dxa" w:w="890"/>
          </w:tcPr>
          <w:p>
            <w:pPr>
              <w:pStyle w:val="null3"/>
            </w:pPr>
            <w:r>
              <w:rPr/>
              <w:t>6</w:t>
            </w:r>
          </w:p>
        </w:tc>
        <w:tc>
          <w:tcPr>
            <w:tcW w:type="dxa" w:w="3178"/>
          </w:tcPr>
          <w:p>
            <w:pPr>
              <w:pStyle w:val="null3"/>
            </w:pPr>
            <w:r>
              <w:rPr/>
              <w:t>投标文件按照招标文件规定要求签署、盖章的</w:t>
            </w:r>
          </w:p>
        </w:tc>
        <w:tc>
          <w:tcPr>
            <w:tcW w:type="dxa" w:w="4238"/>
          </w:tcPr>
          <w:p>
            <w:pPr>
              <w:pStyle w:val="null3"/>
            </w:pPr>
            <w:r>
              <w:rPr/>
              <w:t>投标文件按照招标文件规定要求签署、盖章的。</w:t>
            </w:r>
          </w:p>
        </w:tc>
      </w:tr>
      <w:tr>
        <w:tc>
          <w:tcPr>
            <w:tcW w:type="dxa" w:w="890"/>
          </w:tcPr>
          <w:p>
            <w:pPr>
              <w:pStyle w:val="null3"/>
            </w:pPr>
            <w:r>
              <w:rPr/>
              <w:t>7</w:t>
            </w:r>
          </w:p>
        </w:tc>
        <w:tc>
          <w:tcPr>
            <w:tcW w:type="dxa" w:w="3178"/>
          </w:tcPr>
          <w:p>
            <w:pPr>
              <w:pStyle w:val="null3"/>
            </w:pPr>
            <w:r>
              <w:rPr/>
              <w:t>投标文件未含有采购人不能接受的附加条件的</w:t>
            </w:r>
          </w:p>
        </w:tc>
        <w:tc>
          <w:tcPr>
            <w:tcW w:type="dxa" w:w="4238"/>
          </w:tcPr>
          <w:p>
            <w:pPr>
              <w:pStyle w:val="null3"/>
            </w:pPr>
            <w:r>
              <w:rPr/>
              <w:t>投标文件未含有采购人不能接受的附加条件的。</w:t>
            </w:r>
          </w:p>
        </w:tc>
      </w:tr>
      <w:tr>
        <w:tc>
          <w:tcPr>
            <w:tcW w:type="dxa" w:w="890"/>
          </w:tcPr>
          <w:p>
            <w:pPr>
              <w:pStyle w:val="null3"/>
            </w:pPr>
            <w:r>
              <w:rPr/>
              <w:t>8</w:t>
            </w:r>
          </w:p>
        </w:tc>
        <w:tc>
          <w:tcPr>
            <w:tcW w:type="dxa" w:w="3178"/>
          </w:tcPr>
          <w:p>
            <w:pPr>
              <w:pStyle w:val="null3"/>
            </w:pPr>
            <w:r>
              <w:rPr/>
              <w:t>未含有关法律、法规和招标文件规定的其他无效情形</w:t>
            </w:r>
          </w:p>
        </w:tc>
        <w:tc>
          <w:tcPr>
            <w:tcW w:type="dxa" w:w="4238"/>
          </w:tcPr>
          <w:p>
            <w:pPr>
              <w:pStyle w:val="null3"/>
            </w:pPr>
            <w:r>
              <w:rPr/>
              <w:t>未含有关法律、法规和招标文件规定的其他无效情形。</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采购包1(2025年食堂食材配送服务):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商务部分40.0分</w:t>
            </w:r>
          </w:p>
          <w:p>
            <w:pPr>
              <w:pStyle w:val="null3"/>
            </w:pPr>
            <w:r>
              <w:rPr/>
              <w:t>技术部分50.0分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食材来源组织、保障方案 (10.0分)</w:t>
            </w:r>
            <w:r>
              <w:rPr/>
              <w:t>，（等次分值选择：</w:t>
            </w:r>
            <w:r>
              <w:rPr/>
              <w:t>0.0;</w:t>
            </w:r>
            <w:r>
              <w:rPr/>
              <w:t>4.0;</w:t>
            </w:r>
            <w:r>
              <w:rPr/>
              <w:t>7.0;</w:t>
            </w:r>
            <w:r>
              <w:rPr/>
              <w:t>10.0;</w:t>
            </w:r>
            <w:r>
              <w:rPr/>
              <w:t>）</w:t>
            </w:r>
          </w:p>
        </w:tc>
        <w:tc>
          <w:tcPr>
            <w:tcW w:type="dxa" w:w="5076"/>
          </w:tcPr>
          <w:p>
            <w:pPr>
              <w:pStyle w:val="null3"/>
              <w:jc w:val="left"/>
            </w:pPr>
            <w:r>
              <w:rPr/>
              <w:t>根据响应供应商在本项目各种食材的食材来源组织、保障方案作评价： 1、食材来源具体明确、充足稳定，流程规范、高效，针对性和可行性强，有利于提高服务质量的得10分。 2、食材来源明确、稳定，流程合理、可行，可保障基本的服务质量的得7分。 3、食材来源明确但不稳定，流程有一定的合理性和可行性，对服务质量的保障不足的得4分。 4、其他情况或不提供方案不得分。</w:t>
            </w:r>
          </w:p>
        </w:tc>
      </w:tr>
      <w:tr>
        <w:tc>
          <w:tcPr>
            <w:tcW w:type="dxa" w:w="922"/>
            <w:gridSpan w:val="2"/>
            <w:vMerge/>
          </w:tcPr>
          <w:p/>
        </w:tc>
        <w:tc>
          <w:tcPr>
            <w:tcW w:type="dxa" w:w="2307"/>
          </w:tcPr>
          <w:p>
            <w:pPr>
              <w:pStyle w:val="null3"/>
              <w:jc w:val="left"/>
            </w:pPr>
            <w:r>
              <w:rPr/>
              <w:t>食材质量保证及食品安全措施方案 (8.0分)</w:t>
            </w:r>
            <w:r>
              <w:rPr/>
              <w:t>，（等次分值选择：</w:t>
            </w:r>
            <w:r>
              <w:rPr/>
              <w:t>0.0;</w:t>
            </w:r>
            <w:r>
              <w:rPr/>
              <w:t>2.0;</w:t>
            </w:r>
            <w:r>
              <w:rPr/>
              <w:t>4.0;</w:t>
            </w:r>
            <w:r>
              <w:rPr/>
              <w:t>8.0;</w:t>
            </w:r>
            <w:r>
              <w:rPr/>
              <w:t>）</w:t>
            </w:r>
          </w:p>
        </w:tc>
        <w:tc>
          <w:tcPr>
            <w:tcW w:type="dxa" w:w="5076"/>
          </w:tcPr>
          <w:p>
            <w:pPr>
              <w:pStyle w:val="null3"/>
              <w:jc w:val="left"/>
            </w:pPr>
            <w:r>
              <w:rPr/>
              <w:t>根据响应供应商的食材质量保证及食品安全措施方案（包含但不限于加工、包装、保鲜、仓储、运输、善后处理）的质量保证及食品安全措施作评审： 1、实施流程详尽、清晰，方案的针对性和可行性强，有利于提高食材质量及安全标准的得8分。 2、实施流程具体，方案基本可行，可保障食材的基本质量及安全的得4分。 3、实施流程全面但不具体，方案针对性不足，有一定的可行性，对食材的基本质量及安全保障不足的得2分。 4、其他情况或不提供方案不得分。</w:t>
            </w:r>
          </w:p>
        </w:tc>
      </w:tr>
      <w:tr>
        <w:tc>
          <w:tcPr>
            <w:tcW w:type="dxa" w:w="922"/>
            <w:gridSpan w:val="2"/>
            <w:vMerge/>
          </w:tcPr>
          <w:p/>
        </w:tc>
        <w:tc>
          <w:tcPr>
            <w:tcW w:type="dxa" w:w="2307"/>
          </w:tcPr>
          <w:p>
            <w:pPr>
              <w:pStyle w:val="null3"/>
              <w:jc w:val="left"/>
            </w:pPr>
            <w:r>
              <w:rPr/>
              <w:t>配送服务方案 (8.0分)</w:t>
            </w:r>
            <w:r>
              <w:rPr/>
              <w:t>，（等次分值选择：</w:t>
            </w:r>
            <w:r>
              <w:rPr/>
              <w:t>0.0;</w:t>
            </w:r>
            <w:r>
              <w:rPr/>
              <w:t>2.0;</w:t>
            </w:r>
            <w:r>
              <w:rPr/>
              <w:t>4.0;</w:t>
            </w:r>
            <w:r>
              <w:rPr/>
              <w:t>8.0;</w:t>
            </w:r>
            <w:r>
              <w:rPr/>
              <w:t>）</w:t>
            </w:r>
          </w:p>
        </w:tc>
        <w:tc>
          <w:tcPr>
            <w:tcW w:type="dxa" w:w="5076"/>
          </w:tcPr>
          <w:p>
            <w:pPr>
              <w:pStyle w:val="null3"/>
              <w:jc w:val="left"/>
            </w:pPr>
            <w:r>
              <w:rPr/>
              <w:t>根据响应供应商的配送服务方案（包括但不限于配送内容、配送流程、服务热线、配送人员配置、配送线路、配送服务相关承诺等）的全面性，可实施性，配送物流保障性，供应时效响应性等进行评审： 1、配送组织方案全面，可实施性强，配送物流有保障，供应时效性高，得8分； 2、配送组织方案可实施性尚可，配送物流有基本保障，供应时效性尚可，得4分； 3、配送组织方案不够全面，或欠实施性，或配送物流缺乏保障，得2分； 4、无提供方案的得0分。</w:t>
            </w:r>
          </w:p>
        </w:tc>
      </w:tr>
      <w:tr>
        <w:tc>
          <w:tcPr>
            <w:tcW w:type="dxa" w:w="922"/>
            <w:gridSpan w:val="2"/>
            <w:vMerge/>
          </w:tcPr>
          <w:p/>
        </w:tc>
        <w:tc>
          <w:tcPr>
            <w:tcW w:type="dxa" w:w="2307"/>
          </w:tcPr>
          <w:p>
            <w:pPr>
              <w:pStyle w:val="null3"/>
              <w:jc w:val="left"/>
            </w:pPr>
            <w:r>
              <w:rPr/>
              <w:t>检测能力及方案 (8.0分)</w:t>
            </w:r>
            <w:r>
              <w:rPr/>
              <w:t>，（等次分值选择：</w:t>
            </w:r>
            <w:r>
              <w:rPr/>
              <w:t>0.0;</w:t>
            </w:r>
            <w:r>
              <w:rPr/>
              <w:t>2.0;</w:t>
            </w:r>
            <w:r>
              <w:rPr/>
              <w:t>4.0;</w:t>
            </w:r>
            <w:r>
              <w:rPr/>
              <w:t>8.0;</w:t>
            </w:r>
            <w:r>
              <w:rPr/>
              <w:t>）</w:t>
            </w:r>
          </w:p>
        </w:tc>
        <w:tc>
          <w:tcPr>
            <w:tcW w:type="dxa" w:w="5076"/>
          </w:tcPr>
          <w:p>
            <w:pPr>
              <w:pStyle w:val="null3"/>
              <w:jc w:val="left"/>
            </w:pPr>
            <w:r>
              <w:rPr/>
              <w:t>根据响应供应商的检测能力及方案进行评审： 1、方案完善、全面、合理，符合或优于招标文件要求的，得8分； 2、方案基本完善、合理，基本符合招标文件要求但不够全面的，得4分； 3、项目实施方案不完善、或合理性差的，或内容片面得，得2分； 4、无提供方案的得0分。</w:t>
            </w:r>
          </w:p>
        </w:tc>
      </w:tr>
      <w:tr>
        <w:tc>
          <w:tcPr>
            <w:tcW w:type="dxa" w:w="922"/>
            <w:gridSpan w:val="2"/>
            <w:vMerge/>
          </w:tcPr>
          <w:p/>
        </w:tc>
        <w:tc>
          <w:tcPr>
            <w:tcW w:type="dxa" w:w="2307"/>
          </w:tcPr>
          <w:p>
            <w:pPr>
              <w:pStyle w:val="null3"/>
              <w:jc w:val="left"/>
            </w:pPr>
            <w:r>
              <w:rPr/>
              <w:t>内部管理制度 (8.0分)</w:t>
            </w:r>
            <w:r>
              <w:rPr/>
              <w:t>，（等次分值选择：</w:t>
            </w:r>
            <w:r>
              <w:rPr/>
              <w:t>0.0;</w:t>
            </w:r>
            <w:r>
              <w:rPr/>
              <w:t>2.0;</w:t>
            </w:r>
            <w:r>
              <w:rPr/>
              <w:t>4.0;</w:t>
            </w:r>
            <w:r>
              <w:rPr/>
              <w:t>8.0;</w:t>
            </w:r>
            <w:r>
              <w:rPr/>
              <w:t>）</w:t>
            </w:r>
          </w:p>
        </w:tc>
        <w:tc>
          <w:tcPr>
            <w:tcW w:type="dxa" w:w="5076"/>
          </w:tcPr>
          <w:p>
            <w:pPr>
              <w:pStyle w:val="null3"/>
              <w:jc w:val="left"/>
            </w:pPr>
            <w:r>
              <w:rPr/>
              <w:t>根据响应供应商针对本项目编制的内部管理制度方案（包括但不限于原料采购查验制度、食品采购安全制度、食材供应商管理制度、不合格品管理制度、客户信息安全管理制度、客户满意度评价制度等）进行评审： 1、内部管理制度及流程具体、完善、全面、可行，符合或优于招标文件要求的，得8分； 2、内部管理制度及流程基本具体、完善、可行，基本符合招标文件要求的，得4分； 3、内部管理制度及流程不够具体、或不够完善、或片面、或不够可行的得2分； 4、无提供方案的得0分。</w:t>
            </w:r>
          </w:p>
        </w:tc>
      </w:tr>
      <w:tr>
        <w:tc>
          <w:tcPr>
            <w:tcW w:type="dxa" w:w="922"/>
            <w:gridSpan w:val="2"/>
            <w:vMerge/>
          </w:tcPr>
          <w:p/>
        </w:tc>
        <w:tc>
          <w:tcPr>
            <w:tcW w:type="dxa" w:w="2307"/>
          </w:tcPr>
          <w:p>
            <w:pPr>
              <w:pStyle w:val="null3"/>
              <w:jc w:val="left"/>
            </w:pPr>
            <w:r>
              <w:rPr/>
              <w:t>特殊情况应急能力 (8.0分)</w:t>
            </w:r>
            <w:r>
              <w:rPr/>
              <w:t>，（等次分值选择：</w:t>
            </w:r>
            <w:r>
              <w:rPr/>
              <w:t>0.0;</w:t>
            </w:r>
            <w:r>
              <w:rPr/>
              <w:t>2.0;</w:t>
            </w:r>
            <w:r>
              <w:rPr/>
              <w:t>4.0;</w:t>
            </w:r>
            <w:r>
              <w:rPr/>
              <w:t>8.0;</w:t>
            </w:r>
            <w:r>
              <w:rPr/>
              <w:t>）</w:t>
            </w:r>
          </w:p>
        </w:tc>
        <w:tc>
          <w:tcPr>
            <w:tcW w:type="dxa" w:w="5076"/>
          </w:tcPr>
          <w:p>
            <w:pPr>
              <w:pStyle w:val="null3"/>
              <w:jc w:val="left"/>
            </w:pPr>
            <w:r>
              <w:rPr/>
              <w:t>根据各响应供应商提供的货物临时供应应急方案（包括但不限于含食物中毒、自然灾害、配送车辆事故等应急预案），特殊情况应急供应商方案，方案全面、情形丰富，应对措施详细，可实施且能满足保障采购人利益等进行评审： 1、有完善的货物临时供应应急方案及特殊情况应急供应商方案，方案全面、情形丰富、应对措施详细，可实施且能完全保障采购人利益的，得8分； 2、有货物临时供应应急方案及特殊情况应急供应商方案，方案基本能满足保障采购人利益的，得4分； 3、有货物临时供应应急方案及特殊情况应急供应商方案，但不够详细，或不够全面，或部分内容不能保障采购人利益的，得2分； 4、无提供方案的得0分。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(8.0分)</w:t>
            </w:r>
          </w:p>
        </w:tc>
        <w:tc>
          <w:tcPr>
            <w:tcW w:type="dxa" w:w="5076"/>
          </w:tcPr>
          <w:p>
            <w:pPr>
              <w:pStyle w:val="null3"/>
              <w:jc w:val="left"/>
            </w:pPr>
            <w:r>
              <w:rPr/>
              <w:t>响应供应商提供2021年至今（以合同签订时间为准）的同类项目业绩，每个得1分，最高得8分。【注：提供中标(成交)通知书、合同复印件作为证明材料、并提供客户评价证明（评价必须为“满意”、“优秀”或同等水平），同一甲方业绩按一项业绩计分。无提供或资料不齐全不得分。】</w:t>
            </w:r>
          </w:p>
        </w:tc>
      </w:tr>
      <w:tr>
        <w:tc>
          <w:tcPr>
            <w:tcW w:type="dxa" w:w="922"/>
            <w:gridSpan w:val="2"/>
            <w:vMerge/>
          </w:tcPr>
          <w:p/>
        </w:tc>
        <w:tc>
          <w:tcPr>
            <w:tcW w:type="dxa" w:w="2307"/>
          </w:tcPr>
          <w:p>
            <w:pPr>
              <w:pStyle w:val="null3"/>
              <w:jc w:val="left"/>
            </w:pPr>
            <w:r>
              <w:rPr/>
              <w:t>体系认证情况 (7.0分)</w:t>
            </w:r>
          </w:p>
        </w:tc>
        <w:tc>
          <w:tcPr>
            <w:tcW w:type="dxa" w:w="5076"/>
          </w:tcPr>
          <w:p>
            <w:pPr>
              <w:pStyle w:val="null3"/>
              <w:jc w:val="left"/>
            </w:pPr>
            <w:r>
              <w:rPr/>
              <w:t>响应供应商具有以下有效证书的： 1.质量管理体系认证证书，得1分； 2.环境管理体系认证证书，得1分； 3.职业健康安全管理体系认证证书，得1分； 4.食品安全管理体系认证证书，得1分； 5.供应链安全管理认证证书，得1分； 6.售后服务体系认证证书，得1分； 7.危害分析与关键控制点（HACCP）体系认证证书，得1分。本项最高得7分。 注：提供认证证书（证书须在有效期内）扫描件及国家认证认可信息公共服务平台（网址：http://www.cnca.gov.cn/）查询的认证证书网页截图（认证证书状态须显示“有效”）；以上证明材料均需加盖响应供应商公章，材料不全、无效、不提供的不得分。</w:t>
            </w:r>
          </w:p>
        </w:tc>
      </w:tr>
      <w:tr>
        <w:tc>
          <w:tcPr>
            <w:tcW w:type="dxa" w:w="922"/>
            <w:gridSpan w:val="2"/>
            <w:vMerge/>
          </w:tcPr>
          <w:p/>
        </w:tc>
        <w:tc>
          <w:tcPr>
            <w:tcW w:type="dxa" w:w="2307"/>
          </w:tcPr>
          <w:p>
            <w:pPr>
              <w:pStyle w:val="null3"/>
              <w:jc w:val="left"/>
            </w:pPr>
            <w:r>
              <w:rPr/>
              <w:t>配送车辆情况 (8.0分)</w:t>
            </w:r>
          </w:p>
        </w:tc>
        <w:tc>
          <w:tcPr>
            <w:tcW w:type="dxa" w:w="5076"/>
          </w:tcPr>
          <w:p>
            <w:pPr>
              <w:pStyle w:val="null3"/>
              <w:jc w:val="left"/>
            </w:pPr>
            <w:r>
              <w:rPr/>
              <w:t>根据各响应供应商拟投入本项目配送车队情况进行评审： 1、每具备1台配送车辆（含冷藏车），得1分，最高得分6分； 2、具备的配送车辆为冷藏车的，每台加1分，最高得2分。 注：自有车辆需提供以供应商名称登记的有效的机动车行驶证、车辆登记证、购买发票（发票能证明车辆类型为冷藏车）、车辆照片相关证明材料加盖供应商公章；租赁车辆需提供以供应商或法定代表人签署的车辆租赁合同复印件和有效的机动车行驶证、车辆登记证、车辆照片以及租赁期内有效的发票或支付凭证相关证明材料。以上资料不提供或不按要求提供证明材料不得分。</w:t>
            </w:r>
          </w:p>
        </w:tc>
      </w:tr>
      <w:tr>
        <w:tc>
          <w:tcPr>
            <w:tcW w:type="dxa" w:w="922"/>
            <w:gridSpan w:val="2"/>
            <w:vMerge/>
          </w:tcPr>
          <w:p/>
        </w:tc>
        <w:tc>
          <w:tcPr>
            <w:tcW w:type="dxa" w:w="2307"/>
          </w:tcPr>
          <w:p>
            <w:pPr>
              <w:pStyle w:val="null3"/>
              <w:jc w:val="left"/>
            </w:pPr>
            <w:r>
              <w:rPr/>
              <w:t>专业团队实力 (7.0分)</w:t>
            </w:r>
          </w:p>
        </w:tc>
        <w:tc>
          <w:tcPr>
            <w:tcW w:type="dxa" w:w="5076"/>
          </w:tcPr>
          <w:p>
            <w:pPr>
              <w:pStyle w:val="null3"/>
              <w:jc w:val="left"/>
            </w:pPr>
            <w:r>
              <w:rPr/>
              <w:t>根据供应商拟投入本项目服务人员情况进行评分： 1、具有高级食品安全管理员证书（如高级食用农产品销售类别）的人员，每人得1.5分，本项最高3分； 2、具有食品检验工或食品检验员证书的人员，每人得1.5分，本项最高3分； 3、具有中级食品安全管理员证书的人员，得1分，本项最高1分。 注：同时提供上述人员证书复印件、投标截止日前3个月内任意1个月在投标单位购买社保的证明材料，不提供或少提供不得分。</w:t>
            </w:r>
          </w:p>
        </w:tc>
      </w:tr>
      <w:tr>
        <w:tc>
          <w:tcPr>
            <w:tcW w:type="dxa" w:w="922"/>
            <w:gridSpan w:val="2"/>
            <w:vMerge/>
          </w:tcPr>
          <w:p/>
        </w:tc>
        <w:tc>
          <w:tcPr>
            <w:tcW w:type="dxa" w:w="2307"/>
          </w:tcPr>
          <w:p>
            <w:pPr>
              <w:pStyle w:val="null3"/>
              <w:jc w:val="left"/>
            </w:pPr>
            <w:r>
              <w:rPr/>
              <w:t>企业管理系统 (4.0分)</w:t>
            </w:r>
          </w:p>
        </w:tc>
        <w:tc>
          <w:tcPr>
            <w:tcW w:type="dxa" w:w="5076"/>
          </w:tcPr>
          <w:p>
            <w:pPr>
              <w:pStyle w:val="null3"/>
              <w:jc w:val="left"/>
            </w:pPr>
            <w:r>
              <w:rPr/>
              <w:t>为提升项目效率与服务质量，响应供应商拟投入本项目的食品农产品相关信息化管理系统，每提供一项计算机著作权登记证书得1分，最高得4分。 注：须提供《计算机著作权登记证书》（证书著作权人名称须与供应商名称一致）、相关网站截图，未按要求提供的不得分。</w:t>
            </w:r>
          </w:p>
        </w:tc>
      </w:tr>
      <w:tr>
        <w:tc>
          <w:tcPr>
            <w:tcW w:type="dxa" w:w="922"/>
            <w:gridSpan w:val="2"/>
            <w:vMerge/>
          </w:tcPr>
          <w:p/>
        </w:tc>
        <w:tc>
          <w:tcPr>
            <w:tcW w:type="dxa" w:w="2307"/>
          </w:tcPr>
          <w:p>
            <w:pPr>
              <w:pStyle w:val="null3"/>
              <w:jc w:val="left"/>
            </w:pPr>
            <w:r>
              <w:rPr/>
              <w:t>食品安全责任保险 (6.0分)</w:t>
            </w:r>
          </w:p>
        </w:tc>
        <w:tc>
          <w:tcPr>
            <w:tcW w:type="dxa" w:w="5076"/>
          </w:tcPr>
          <w:p>
            <w:pPr>
              <w:pStyle w:val="null3"/>
              <w:jc w:val="left"/>
            </w:pPr>
            <w:r>
              <w:rPr/>
              <w:t>供应商承诺中标后购买有效的食品安全责任保险，保险金额≥人民币30000万元的得6分，人民币10000万元≤保险金额＜人民币30000元的得3分，保险金额＜人民币10000万元的得1分。 注：提供承诺函（格式自拟）或已购买保险单复印件及购买发票，保险单须体现有保险金额，无提供不得分。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 投标报价=折扣率（投标结算系数）。</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b/>
        </w:rPr>
        <w:t>佛山市</w:t>
      </w:r>
      <w:r>
        <w:rPr>
          <w:sz w:val="24"/>
          <w:b/>
          <w:u w:val="single"/>
        </w:rPr>
        <w:t>三水</w:t>
      </w:r>
      <w:r>
        <w:rPr>
          <w:sz w:val="24"/>
          <w:b/>
        </w:rPr>
        <w:t>区政府采购项目合同书</w:t>
      </w:r>
    </w:p>
    <w:tbl>
      <w:tblPr>
        <w:tblW w:w="0" w:type="auto"/>
        <w:tblBorders>
          <w:top w:val="none" w:color="000000" w:sz="4"/>
          <w:left w:val="none" w:color="000000" w:sz="4"/>
          <w:bottom w:val="none" w:color="000000" w:sz="4"/>
          <w:right w:val="none" w:color="000000" w:sz="4"/>
          <w:insideH w:val="none"/>
          <w:insideV w:val="none"/>
        </w:tblBorders>
      </w:tblPr>
      <w:tblGrid>
        <w:gridCol w:w="1757"/>
        <w:gridCol w:w="6549"/>
      </w:tblGrid>
      <w:tr>
        <w:tc>
          <w:tcPr>
            <w:tcW w:type="dxa" w:w="175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2"/>
              <w:jc w:val="both"/>
            </w:pPr>
            <w:r>
              <w:rPr>
                <w:sz w:val="21"/>
                <w:b/>
              </w:rPr>
              <w:t>项目名称：</w:t>
            </w:r>
          </w:p>
        </w:tc>
        <w:tc>
          <w:tcPr>
            <w:tcW w:type="dxa" w:w="654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jc w:val="left"/>
            </w:pPr>
          </w:p>
        </w:tc>
      </w:tr>
      <w:tr>
        <w:tc>
          <w:tcPr>
            <w:tcW w:type="dxa" w:w="175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项目编号：</w:t>
            </w:r>
          </w:p>
        </w:tc>
        <w:tc>
          <w:tcPr>
            <w:tcW w:type="dxa" w:w="654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jc w:val="both"/>
            </w:pPr>
          </w:p>
        </w:tc>
      </w:tr>
      <w:tr>
        <w:tc>
          <w:tcPr>
            <w:tcW w:type="dxa" w:w="175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甲</w:t>
            </w:r>
            <w:r>
              <w:rPr>
                <w:sz w:val="21"/>
                <w:b/>
              </w:rPr>
              <w:t xml:space="preserve">   </w:t>
            </w:r>
            <w:r>
              <w:rPr>
                <w:sz w:val="21"/>
                <w:b/>
              </w:rPr>
              <w:t>方：</w:t>
            </w:r>
          </w:p>
        </w:tc>
        <w:tc>
          <w:tcPr>
            <w:tcW w:type="dxa" w:w="654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jc w:val="both"/>
            </w:pPr>
            <w:r>
              <w:rPr>
                <w:sz w:val="21"/>
                <w:u w:val="single"/>
              </w:rPr>
              <w:t xml:space="preserve"> </w:t>
            </w:r>
            <w:r>
              <w:rPr>
                <w:sz w:val="21"/>
                <w:u w:val="single"/>
              </w:rPr>
              <w:t>（采购人名称）</w:t>
            </w:r>
            <w:r>
              <w:rPr>
                <w:sz w:val="21"/>
                <w:u w:val="single"/>
              </w:rPr>
              <w:t xml:space="preserve">                                   </w:t>
            </w:r>
          </w:p>
        </w:tc>
      </w:tr>
      <w:tr>
        <w:tc>
          <w:tcPr>
            <w:tcW w:type="dxa" w:w="175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2"/>
              <w:jc w:val="both"/>
            </w:pPr>
            <w:r>
              <w:rPr>
                <w:sz w:val="21"/>
                <w:b/>
              </w:rPr>
              <w:t>乙</w:t>
            </w:r>
            <w:r>
              <w:rPr>
                <w:sz w:val="21"/>
                <w:b/>
              </w:rPr>
              <w:t xml:space="preserve">  </w:t>
            </w:r>
            <w:r>
              <w:rPr>
                <w:sz w:val="21"/>
                <w:b/>
              </w:rPr>
              <w:t>方：</w:t>
            </w:r>
          </w:p>
        </w:tc>
        <w:tc>
          <w:tcPr>
            <w:tcW w:type="dxa" w:w="654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jc w:val="both"/>
            </w:pPr>
            <w:r>
              <w:rPr>
                <w:sz w:val="21"/>
                <w:u w:val="single"/>
              </w:rPr>
              <w:t>（中标</w:t>
            </w:r>
            <w:r>
              <w:rPr>
                <w:sz w:val="21"/>
                <w:u w:val="single"/>
              </w:rPr>
              <w:t>/</w:t>
            </w:r>
            <w:r>
              <w:rPr>
                <w:sz w:val="21"/>
                <w:u w:val="single"/>
              </w:rPr>
              <w:t xml:space="preserve">成交供应商）                                </w:t>
            </w:r>
          </w:p>
        </w:tc>
      </w:tr>
    </w:tbl>
    <w:p>
      <w:pPr>
        <w:pStyle w:val="null3"/>
        <w:ind w:firstLine="420"/>
        <w:jc w:val="both"/>
      </w:pPr>
      <w:r>
        <w:rPr>
          <w:sz w:val="21"/>
        </w:rPr>
        <w:t>根据《中华人民共和国政府采购法》《中华人民共和国民法典》和本项目采购文件的要求，经双方协商，本着平等互利和诚实信用的原则，一致同意签订本合同如下。</w:t>
      </w:r>
    </w:p>
    <w:p>
      <w:pPr>
        <w:pStyle w:val="null3"/>
        <w:ind w:firstLine="422"/>
        <w:jc w:val="both"/>
      </w:pPr>
      <w:r>
        <w:rPr>
          <w:sz w:val="21"/>
          <w:b/>
        </w:rPr>
        <w:t>一、项目主要内容及实现功能目标：</w:t>
      </w:r>
    </w:p>
    <w:p>
      <w:pPr>
        <w:pStyle w:val="null3"/>
        <w:ind w:firstLine="420"/>
        <w:jc w:val="both"/>
      </w:pPr>
      <w:r>
        <w:rPr>
          <w:sz w:val="21"/>
        </w:rPr>
        <w:t>（按照采购文件和投标</w:t>
      </w:r>
      <w:r>
        <w:rPr>
          <w:sz w:val="21"/>
        </w:rPr>
        <w:t>/</w:t>
      </w:r>
      <w:r>
        <w:rPr>
          <w:sz w:val="21"/>
        </w:rPr>
        <w:t>响应文件执行）</w:t>
      </w:r>
    </w:p>
    <w:p>
      <w:pPr>
        <w:pStyle w:val="null3"/>
        <w:ind w:firstLine="422"/>
        <w:jc w:val="both"/>
      </w:pPr>
      <w:r>
        <w:rPr>
          <w:sz w:val="21"/>
          <w:b/>
        </w:rPr>
        <w:t>二、产品及服务供应清单：</w:t>
      </w:r>
      <w:r>
        <w:rPr>
          <w:sz w:val="21"/>
        </w:rPr>
        <w:t>见附件一《报价清单明细表》。</w:t>
      </w:r>
    </w:p>
    <w:p>
      <w:pPr>
        <w:pStyle w:val="null3"/>
        <w:ind w:firstLine="422"/>
        <w:jc w:val="both"/>
      </w:pPr>
      <w:r>
        <w:rPr>
          <w:sz w:val="21"/>
          <w:b/>
        </w:rPr>
        <w:t>三、基本合同条款一览表</w:t>
      </w:r>
    </w:p>
    <w:tbl>
      <w:tblPr>
        <w:tblW w:w="0" w:type="auto"/>
        <w:tblBorders>
          <w:top w:val="none" w:color="000000" w:sz="4"/>
          <w:left w:val="none" w:color="000000" w:sz="4"/>
          <w:bottom w:val="none" w:color="000000" w:sz="4"/>
          <w:right w:val="none" w:color="000000" w:sz="4"/>
          <w:insideH w:val="none"/>
          <w:insideV w:val="none"/>
        </w:tblBorders>
      </w:tblPr>
      <w:tblGrid>
        <w:gridCol w:w="662"/>
        <w:gridCol w:w="1429"/>
        <w:gridCol w:w="6214"/>
      </w:tblGrid>
      <w:tr>
        <w:tc>
          <w:tcPr>
            <w:tcW w:type="dxa" w:w="66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序号</w:t>
            </w:r>
          </w:p>
        </w:tc>
        <w:tc>
          <w:tcPr>
            <w:tcW w:type="dxa" w:w="142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合同条款</w:t>
            </w:r>
          </w:p>
        </w:tc>
        <w:tc>
          <w:tcPr>
            <w:tcW w:type="dxa" w:w="621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内容</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1</w:t>
            </w:r>
          </w:p>
        </w:tc>
        <w:tc>
          <w:tcPr>
            <w:tcW w:type="dxa" w:w="14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合同总额</w:t>
            </w:r>
          </w:p>
        </w:tc>
        <w:tc>
          <w:tcPr>
            <w:tcW w:type="dxa" w:w="6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人民币小写：元；</w:t>
            </w:r>
          </w:p>
          <w:p>
            <w:pPr>
              <w:pStyle w:val="null3"/>
              <w:ind w:firstLine="420"/>
              <w:jc w:val="both"/>
            </w:pPr>
            <w:r>
              <w:rPr>
                <w:sz w:val="21"/>
              </w:rPr>
              <w:t>大写：</w:t>
            </w:r>
          </w:p>
          <w:p>
            <w:pPr>
              <w:pStyle w:val="null3"/>
              <w:ind w:firstLine="420"/>
              <w:jc w:val="both"/>
            </w:pPr>
            <w:r>
              <w:rPr>
                <w:sz w:val="21"/>
              </w:rPr>
              <w:t>成交折扣率为：</w:t>
            </w:r>
            <w:r>
              <w:rPr>
                <w:sz w:val="21"/>
                <w:u w:val="single"/>
              </w:rPr>
              <w:t xml:space="preserve">           %</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2</w:t>
            </w:r>
          </w:p>
        </w:tc>
        <w:tc>
          <w:tcPr>
            <w:tcW w:type="dxa" w:w="14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市场基准价</w:t>
            </w:r>
          </w:p>
        </w:tc>
        <w:tc>
          <w:tcPr>
            <w:tcW w:type="dxa" w:w="6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left"/>
            </w:pPr>
            <w:r>
              <w:rPr>
                <w:sz w:val="21"/>
              </w:rPr>
              <w:t>根据佛山市发展和改革局公布的《佛山市五区农副产品市场零售价格表》中的三水区每周平均价作为市场基准价。（乙方须每</w:t>
            </w:r>
            <w:r>
              <w:rPr>
                <w:sz w:val="21"/>
              </w:rPr>
              <w:t>2</w:t>
            </w:r>
            <w:r>
              <w:rPr>
                <w:sz w:val="21"/>
              </w:rPr>
              <w:t>周提供一份所供货品在佛山市发展和改革局公布的《佛山市五区农副产品市场零售价格表》中的三水区每日市场零售价格表清单供甲方核对）。其中，《佛山市五区农副产品市场零售价格表》上没有的品种，每周由甲方每月到属地周边市场或者超市进行价格调查，由不少于</w:t>
            </w:r>
            <w:r>
              <w:rPr>
                <w:sz w:val="21"/>
              </w:rPr>
              <w:t>3</w:t>
            </w:r>
            <w:r>
              <w:rPr>
                <w:sz w:val="21"/>
              </w:rPr>
              <w:t>家市场或者超市得出的平均价作为同类产品配送的基准价格。最终的配送价格为经双方核定的各类食材的配送基准价格×供货折率。乙方在配送期间不得随意更改折扣率。</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3</w:t>
            </w:r>
          </w:p>
        </w:tc>
        <w:tc>
          <w:tcPr>
            <w:tcW w:type="dxa" w:w="14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项目服务地点</w:t>
            </w:r>
          </w:p>
        </w:tc>
        <w:tc>
          <w:tcPr>
            <w:tcW w:type="dxa" w:w="6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甲方（用户）指定地点。详细地址为：</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4</w:t>
            </w:r>
          </w:p>
        </w:tc>
        <w:tc>
          <w:tcPr>
            <w:tcW w:type="dxa" w:w="14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服务期</w:t>
            </w:r>
          </w:p>
        </w:tc>
        <w:tc>
          <w:tcPr>
            <w:tcW w:type="dxa" w:w="6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合同生效后提供</w:t>
            </w:r>
            <w:r>
              <w:rPr>
                <w:sz w:val="21"/>
                <w:u w:val="single"/>
              </w:rPr>
              <w:t>__</w:t>
            </w:r>
            <w:r>
              <w:rPr>
                <w:sz w:val="21"/>
                <w:u w:val="single"/>
              </w:rPr>
              <w:t>1</w:t>
            </w:r>
            <w:r>
              <w:rPr>
                <w:sz w:val="21"/>
                <w:u w:val="single"/>
              </w:rPr>
              <w:t>_</w:t>
            </w:r>
            <w:r>
              <w:rPr>
                <w:sz w:val="21"/>
              </w:rPr>
              <w:t>年服务，即从年月日至年月日。</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5</w:t>
            </w:r>
          </w:p>
        </w:tc>
        <w:tc>
          <w:tcPr>
            <w:tcW w:type="dxa" w:w="14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付款方式</w:t>
            </w:r>
          </w:p>
        </w:tc>
        <w:tc>
          <w:tcPr>
            <w:tcW w:type="dxa" w:w="6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w:t>
            </w:r>
            <w:r>
              <w:rPr>
                <w:sz w:val="21"/>
              </w:rPr>
              <w:t>1</w:t>
            </w:r>
            <w:r>
              <w:rPr>
                <w:sz w:val="21"/>
              </w:rPr>
              <w:t>）</w:t>
            </w:r>
            <w:r>
              <w:rPr>
                <w:sz w:val="21"/>
              </w:rPr>
              <w:t>按月结算，每月</w:t>
            </w:r>
            <w:r>
              <w:rPr>
                <w:sz w:val="21"/>
              </w:rPr>
              <w:t>30</w:t>
            </w:r>
            <w:r>
              <w:rPr>
                <w:sz w:val="21"/>
              </w:rPr>
              <w:t>号前结算上月货款；</w:t>
            </w:r>
          </w:p>
          <w:p>
            <w:pPr>
              <w:pStyle w:val="null3"/>
              <w:jc w:val="left"/>
            </w:pPr>
            <w:r>
              <w:rPr>
                <w:sz w:val="21"/>
              </w:rPr>
              <w:t>（</w:t>
            </w:r>
            <w:r>
              <w:rPr>
                <w:sz w:val="21"/>
              </w:rPr>
              <w:t>2</w:t>
            </w:r>
            <w:r>
              <w:rPr>
                <w:sz w:val="21"/>
              </w:rPr>
              <w:t>）</w:t>
            </w:r>
            <w:r>
              <w:rPr>
                <w:sz w:val="21"/>
              </w:rPr>
              <w:t>（汇总各类供应品）每日的结算金额＝（各类供应品）每周平均零售价</w:t>
            </w:r>
            <w:r>
              <w:rPr>
                <w:sz w:val="21"/>
              </w:rPr>
              <w:t>×</w:t>
            </w:r>
            <w:r>
              <w:rPr>
                <w:sz w:val="21"/>
              </w:rPr>
              <w:t>（各类供应品）每日实际供货量</w:t>
            </w:r>
            <w:r>
              <w:rPr>
                <w:sz w:val="21"/>
              </w:rPr>
              <w:t>×</w:t>
            </w:r>
            <w:r>
              <w:rPr>
                <w:sz w:val="21"/>
              </w:rPr>
              <w:t>中标折扣率。每月的结算金额＝（汇总各类供应品）每日的结算金额合计。</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6</w:t>
            </w:r>
          </w:p>
        </w:tc>
        <w:tc>
          <w:tcPr>
            <w:tcW w:type="dxa" w:w="14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付款要求</w:t>
            </w:r>
          </w:p>
        </w:tc>
        <w:tc>
          <w:tcPr>
            <w:tcW w:type="dxa" w:w="6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r>
              <w:rPr>
                <w:sz w:val="21"/>
              </w:rPr>
              <w:t>1</w:t>
            </w:r>
            <w:r>
              <w:rPr>
                <w:sz w:val="21"/>
              </w:rPr>
              <w:t>）乙方须向甲方提供依法纳税的服务费发票。</w:t>
            </w:r>
          </w:p>
          <w:p>
            <w:pPr>
              <w:pStyle w:val="null3"/>
              <w:jc w:val="left"/>
            </w:pPr>
            <w:r>
              <w:rPr>
                <w:sz w:val="21"/>
              </w:rPr>
              <w:t>（</w:t>
            </w:r>
            <w:r>
              <w:rPr>
                <w:sz w:val="21"/>
              </w:rPr>
              <w:t>2</w:t>
            </w:r>
            <w:r>
              <w:rPr>
                <w:sz w:val="21"/>
              </w:rPr>
              <w:t>）服务费以转账方式转入乙方的银行账户。</w:t>
            </w:r>
          </w:p>
          <w:p>
            <w:pPr>
              <w:pStyle w:val="null3"/>
              <w:jc w:val="left"/>
            </w:pPr>
            <w:r>
              <w:rPr>
                <w:sz w:val="21"/>
              </w:rPr>
              <w:t>（</w:t>
            </w:r>
            <w:r>
              <w:rPr>
                <w:sz w:val="21"/>
              </w:rPr>
              <w:t>3</w:t>
            </w:r>
            <w:r>
              <w:rPr>
                <w:sz w:val="21"/>
              </w:rPr>
              <w:t>）收款方、出具发票方、合同乙方均必须与中标（成交）供应商名称一致。</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7</w:t>
            </w:r>
          </w:p>
        </w:tc>
        <w:tc>
          <w:tcPr>
            <w:tcW w:type="dxa" w:w="14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履约保证金</w:t>
            </w:r>
          </w:p>
        </w:tc>
        <w:tc>
          <w:tcPr>
            <w:tcW w:type="dxa" w:w="6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left"/>
            </w:pPr>
            <w:r>
              <w:rPr>
                <w:sz w:val="21"/>
              </w:rPr>
              <w:t>1.</w:t>
            </w:r>
            <w:r>
              <w:rPr>
                <w:sz w:val="21"/>
              </w:rPr>
              <w:t>提交时间：合同签订之日起</w:t>
            </w:r>
            <w:r>
              <w:rPr>
                <w:sz w:val="21"/>
              </w:rPr>
              <w:t>5</w:t>
            </w:r>
            <w:r>
              <w:rPr>
                <w:sz w:val="21"/>
              </w:rPr>
              <w:t>个工作日内；</w:t>
            </w:r>
          </w:p>
          <w:p>
            <w:pPr>
              <w:pStyle w:val="null3"/>
              <w:ind w:firstLine="420"/>
              <w:jc w:val="left"/>
            </w:pPr>
            <w:r>
              <w:rPr>
                <w:sz w:val="21"/>
              </w:rPr>
              <w:t>2.</w:t>
            </w:r>
            <w:r>
              <w:rPr>
                <w:sz w:val="21"/>
              </w:rPr>
              <w:t>金额：人民币</w:t>
            </w:r>
            <w:r>
              <w:rPr>
                <w:sz w:val="21"/>
              </w:rPr>
              <w:t>6.85</w:t>
            </w:r>
            <w:r>
              <w:rPr>
                <w:sz w:val="21"/>
              </w:rPr>
              <w:t>万元</w:t>
            </w:r>
            <w:r>
              <w:rPr>
                <w:sz w:val="21"/>
              </w:rPr>
              <w:t>；</w:t>
            </w:r>
          </w:p>
          <w:p>
            <w:pPr>
              <w:pStyle w:val="null3"/>
              <w:ind w:firstLine="420"/>
              <w:jc w:val="left"/>
            </w:pPr>
            <w:r>
              <w:rPr>
                <w:sz w:val="21"/>
              </w:rPr>
              <w:t>3.</w:t>
            </w:r>
            <w:r>
              <w:rPr>
                <w:sz w:val="21"/>
              </w:rPr>
              <w:t>缴纳形式可以采用以下任意一种形式递交：银行转账或金融机构出具的保函；</w:t>
            </w:r>
          </w:p>
          <w:p>
            <w:pPr>
              <w:pStyle w:val="null3"/>
              <w:ind w:firstLine="420"/>
              <w:jc w:val="left"/>
            </w:pPr>
            <w:r>
              <w:rPr>
                <w:sz w:val="21"/>
              </w:rPr>
              <w:t>4.</w:t>
            </w:r>
            <w:r>
              <w:rPr>
                <w:sz w:val="21"/>
              </w:rPr>
              <w:t>退还说明：履约保证金于合同期满并在乙方完全履行合同义务之日起</w:t>
            </w:r>
            <w:r>
              <w:rPr>
                <w:sz w:val="21"/>
              </w:rPr>
              <w:t>5</w:t>
            </w:r>
            <w:r>
              <w:rPr>
                <w:sz w:val="21"/>
              </w:rPr>
              <w:t>个工作日内一次性无息退还。</w:t>
            </w:r>
          </w:p>
          <w:p>
            <w:pPr>
              <w:pStyle w:val="null3"/>
              <w:ind w:firstLine="420"/>
              <w:jc w:val="left"/>
            </w:pPr>
            <w:r>
              <w:rPr>
                <w:sz w:val="21"/>
              </w:rPr>
              <w:t>5.</w:t>
            </w:r>
            <w:r>
              <w:rPr>
                <w:sz w:val="21"/>
              </w:rPr>
              <w:t>履约保证金于合同期满，在成交供应商完全履行合同义务，结清所有费用并经采购人确认之日起</w:t>
            </w:r>
            <w:r>
              <w:rPr>
                <w:sz w:val="21"/>
              </w:rPr>
              <w:t>5</w:t>
            </w:r>
            <w:r>
              <w:rPr>
                <w:sz w:val="21"/>
              </w:rPr>
              <w:t>个工作日内无息一次性退还。履约保证金以履约担保函形式提交的，担保责任终止。如经营期间，成交供应商自行停止合同或违反合同有关规定被采购人终止合同的，采购人将有权没收其履约保证金。</w:t>
            </w:r>
          </w:p>
          <w:p>
            <w:pPr>
              <w:pStyle w:val="null3"/>
              <w:ind w:firstLine="420"/>
              <w:jc w:val="left"/>
            </w:pPr>
            <w:r>
              <w:rPr>
                <w:sz w:val="21"/>
              </w:rPr>
              <w:t>6.</w:t>
            </w:r>
            <w:r>
              <w:rPr>
                <w:sz w:val="21"/>
              </w:rPr>
              <w:t>在本项目服务合同执行期间，如因乙方的过失或工作不配合的原因造成甲方经济损失的，甲方有权根据损失的数额直接在履约保证金中扣除并书面通知乙方（采用银行保函的履约保证金形式，甲方有权向担保银行承兑并通知乙方）。乙方在收到甲方的通知后，应在</w:t>
            </w:r>
            <w:r>
              <w:rPr>
                <w:sz w:val="21"/>
              </w:rPr>
              <w:t>3</w:t>
            </w:r>
            <w:r>
              <w:rPr>
                <w:sz w:val="21"/>
              </w:rPr>
              <w:t>个工作日内补足被扣除的保证金，或出具新的银行保函，否则甲方有权终止合同。如乙方未能在约定的时间内提交履约保证金的，甲方有权终止合同并没收履约保证金（包括补足部分），由此带来乙方的一切损失由乙方自行承担。</w:t>
            </w:r>
            <w:r>
              <w:rPr>
                <w:sz w:val="21"/>
              </w:rPr>
              <w:t>7.</w:t>
            </w:r>
            <w:r>
              <w:rPr>
                <w:sz w:val="21"/>
              </w:rPr>
              <w:t>除不可抗力原因外，甲方须及时返还履约保证金，否则甲方每日按履约保证金金额的</w:t>
            </w:r>
            <w:r>
              <w:rPr>
                <w:sz w:val="21"/>
              </w:rPr>
              <w:t>3</w:t>
            </w:r>
            <w:r>
              <w:rPr>
                <w:sz w:val="21"/>
              </w:rPr>
              <w:t>‰向乙方偿付违约金。</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8</w:t>
            </w:r>
          </w:p>
        </w:tc>
        <w:tc>
          <w:tcPr>
            <w:tcW w:type="dxa" w:w="14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验收要求</w:t>
            </w:r>
          </w:p>
        </w:tc>
        <w:tc>
          <w:tcPr>
            <w:tcW w:type="dxa" w:w="6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r>
              <w:rPr>
                <w:sz w:val="21"/>
              </w:rPr>
              <w:t>、食品供货要求 （</w:t>
            </w:r>
            <w:r>
              <w:rPr>
                <w:sz w:val="21"/>
              </w:rPr>
              <w:t>1</w:t>
            </w:r>
            <w:r>
              <w:rPr>
                <w:sz w:val="21"/>
              </w:rPr>
              <w:t>）甲方提前一天以邮件、传真或电话方式向乙方下订单，订单内容包括肉菜食品的名称、规格、数量等。 （</w:t>
            </w:r>
            <w:r>
              <w:rPr>
                <w:sz w:val="21"/>
              </w:rPr>
              <w:t>2</w:t>
            </w:r>
            <w:r>
              <w:rPr>
                <w:sz w:val="21"/>
              </w:rPr>
              <w:t>）乙方须在接到甲方订单之日的第二天将早餐材料需在</w:t>
            </w:r>
            <w:r>
              <w:rPr>
                <w:sz w:val="21"/>
              </w:rPr>
              <w:t>6:45</w:t>
            </w:r>
            <w:r>
              <w:rPr>
                <w:sz w:val="21"/>
              </w:rPr>
              <w:t>前，午餐材料需在</w:t>
            </w:r>
            <w:r>
              <w:rPr>
                <w:sz w:val="21"/>
              </w:rPr>
              <w:t>9</w:t>
            </w:r>
            <w:r>
              <w:rPr>
                <w:sz w:val="21"/>
              </w:rPr>
              <w:t>：</w:t>
            </w:r>
            <w:r>
              <w:rPr>
                <w:sz w:val="21"/>
              </w:rPr>
              <w:t>15</w:t>
            </w:r>
            <w:r>
              <w:rPr>
                <w:sz w:val="21"/>
              </w:rPr>
              <w:t>前送至甲方指定地点。如果甲方临时增加订购的货物种类、规格、数量等，乙方须在接到通知后的</w:t>
            </w:r>
            <w:r>
              <w:rPr>
                <w:sz w:val="21"/>
              </w:rPr>
              <w:t>90</w:t>
            </w:r>
            <w:r>
              <w:rPr>
                <w:sz w:val="21"/>
              </w:rPr>
              <w:t>分钟内将货物送达，待甲方验收、核对后，供货才算完成。 （</w:t>
            </w:r>
            <w:r>
              <w:rPr>
                <w:sz w:val="21"/>
              </w:rPr>
              <w:t>3</w:t>
            </w:r>
            <w:r>
              <w:rPr>
                <w:sz w:val="21"/>
              </w:rPr>
              <w:t>）食品运输必须采用符合卫生标准的外包装和运载工具，并且要保持清洁和定期消毒。运输车的内仓，包括地面、墙面和顶，应使用抗腐蚀、防潮，易清洁消毒的材料，车厢内无不良气味、异味。 （</w:t>
            </w:r>
            <w:r>
              <w:rPr>
                <w:sz w:val="21"/>
              </w:rPr>
              <w:t>4</w:t>
            </w:r>
            <w:r>
              <w:rPr>
                <w:sz w:val="21"/>
              </w:rPr>
              <w:t>）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 （</w:t>
            </w:r>
            <w:r>
              <w:rPr>
                <w:sz w:val="21"/>
              </w:rPr>
              <w:t>5</w:t>
            </w:r>
            <w:r>
              <w:rPr>
                <w:sz w:val="21"/>
              </w:rPr>
              <w:t>）送货车辆应保持清洁：食品堆放科学合理，避免造成食品的交叉污染；如对温度有要求的食品应确定食品的温度，记录送货车辆温度，并记录存档。 （</w:t>
            </w:r>
            <w:r>
              <w:rPr>
                <w:sz w:val="21"/>
              </w:rPr>
              <w:t>6</w:t>
            </w:r>
            <w:r>
              <w:rPr>
                <w:sz w:val="21"/>
              </w:rPr>
              <w:t xml:space="preserve">）乙方保证所提供的蔬菜类、鲜肉类、生禽、鲜水产的多样性和季节性，以保证新鲜感。 </w:t>
            </w:r>
            <w:r>
              <w:rPr>
                <w:sz w:val="21"/>
              </w:rPr>
              <w:t>2</w:t>
            </w:r>
            <w:r>
              <w:rPr>
                <w:sz w:val="21"/>
              </w:rPr>
              <w:t>、食品验收： （</w:t>
            </w:r>
            <w:r>
              <w:rPr>
                <w:sz w:val="21"/>
              </w:rPr>
              <w:t>1</w:t>
            </w:r>
            <w:r>
              <w:rPr>
                <w:sz w:val="21"/>
              </w:rPr>
              <w:t>）乙方所提供的货物必须符合卫生标准和营养要求、无毒、无害、具有良好的感官性状以及满足甲方的要求，每次送交的所有货物都要注明来源；否则，甲方有权退货，乙方必须在</w:t>
            </w:r>
            <w:r>
              <w:rPr>
                <w:sz w:val="21"/>
              </w:rPr>
              <w:t xml:space="preserve">60 </w:t>
            </w:r>
            <w:r>
              <w:rPr>
                <w:sz w:val="21"/>
              </w:rPr>
              <w:t>分钟内予以退换补货。乙方在每一次送货时，要将肉菜等的卫生检验报告一并交到甲方指定的负责人手中。 （</w:t>
            </w:r>
            <w:r>
              <w:rPr>
                <w:sz w:val="21"/>
              </w:rPr>
              <w:t>2</w:t>
            </w:r>
            <w:r>
              <w:rPr>
                <w:sz w:val="21"/>
              </w:rPr>
              <w:t>）食品应清洁，并符合企业相关验收标准：食品应无损伤、腐烂现象，无寄生虫或已受虫害现象；对温度有要求的食品应确定食品的温度与包装上标示的一致。 （</w:t>
            </w:r>
            <w:r>
              <w:rPr>
                <w:sz w:val="21"/>
              </w:rPr>
              <w:t>3</w:t>
            </w:r>
            <w:r>
              <w:rPr>
                <w:sz w:val="21"/>
              </w:rPr>
              <w:t>）食品到达目的地时外包装完整，冷冻食品没有曾经解冻的痕迹或软化现象，包装呈干爽状态。对食品检查如下：响应供应商供应的食品必须符合食品卫生要求及国家有关标准，如无标准，按行业规范。采购生产、经营证明文件齐备，明确食品来源，并具有检验合格证明。严禁采购有害、有毒、腐烂变质、败酸、霉变生虫、污垢不洁、混有异物或其他感官性状异常的食品。禁止采购超过保质期限的食品。 （</w:t>
            </w:r>
            <w:r>
              <w:rPr>
                <w:sz w:val="21"/>
              </w:rPr>
              <w:t>4</w:t>
            </w:r>
            <w:r>
              <w:rPr>
                <w:sz w:val="21"/>
              </w:rPr>
              <w:t>）货品的等级、质量须符合国家质检部门及卫生部门的相关规定，并提供该批（次）货物的有效的卫生质量合格证或检验结果评价报告书等证明材料。若甲方发现所供货物不符合卫生规定的，甲方有权拒收。 （</w:t>
            </w:r>
            <w:r>
              <w:rPr>
                <w:sz w:val="21"/>
              </w:rPr>
              <w:t>5</w:t>
            </w:r>
            <w:r>
              <w:rPr>
                <w:sz w:val="21"/>
              </w:rPr>
              <w:t>）甲方发现货物出现损坏（包括表面损坏），或出现水渍、串味、受潮等导致货物性质改变的，乙方必须无条件退货或更换商品。 （</w:t>
            </w:r>
            <w:r>
              <w:rPr>
                <w:sz w:val="21"/>
              </w:rPr>
              <w:t>6</w:t>
            </w:r>
            <w:r>
              <w:rPr>
                <w:sz w:val="21"/>
              </w:rPr>
              <w:t>）乙方须委派一名专职人员负责送货，负责货物的运输、过秤，并协助甲方验收货品，货品的品种和重量以甲方验收的结果为准。</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9</w:t>
            </w:r>
          </w:p>
        </w:tc>
        <w:tc>
          <w:tcPr>
            <w:tcW w:type="dxa" w:w="14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服务资格的终止或没收履约保证金</w:t>
            </w:r>
          </w:p>
        </w:tc>
        <w:tc>
          <w:tcPr>
            <w:tcW w:type="dxa" w:w="6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r>
              <w:rPr>
                <w:sz w:val="21"/>
              </w:rPr>
              <w:t>乙方若出现供货能力不足的现象以至甲方有证据证明乙方无继续履约能力，或乙方擅自将与甲方签订的供货项目提供给其他供应商的，甲方有权终止合同，并没收全部履约保证金。</w:t>
            </w:r>
          </w:p>
          <w:p>
            <w:pPr>
              <w:pStyle w:val="null3"/>
              <w:jc w:val="both"/>
            </w:pPr>
            <w:r>
              <w:rPr>
                <w:sz w:val="21"/>
              </w:rPr>
              <w:t>2.</w:t>
            </w:r>
            <w:r>
              <w:rPr>
                <w:sz w:val="21"/>
              </w:rPr>
              <w:t>乙方交付的货品规格、卫生质量标准与合同规定不符时，甲方可以拒收。服务期内，若连续出现</w:t>
            </w:r>
            <w:r>
              <w:rPr>
                <w:sz w:val="21"/>
              </w:rPr>
              <w:t>3</w:t>
            </w:r>
            <w:r>
              <w:rPr>
                <w:sz w:val="21"/>
              </w:rPr>
              <w:t>次类似情况的，甲方有权单方面终止合同，并没收全部履约保证金。</w:t>
            </w:r>
          </w:p>
          <w:p>
            <w:pPr>
              <w:pStyle w:val="null3"/>
              <w:jc w:val="both"/>
            </w:pPr>
            <w:r>
              <w:rPr>
                <w:sz w:val="21"/>
              </w:rPr>
              <w:t>3.</w:t>
            </w:r>
            <w:r>
              <w:rPr>
                <w:sz w:val="21"/>
              </w:rPr>
              <w:t>如乙方在合同执行过程需终止执行合同的，需提前一个月以书面形式告知甲方，否则按单方面终止执行合同处理，履约保证金不予退还。</w:t>
            </w:r>
          </w:p>
          <w:p>
            <w:pPr>
              <w:pStyle w:val="null3"/>
              <w:jc w:val="both"/>
            </w:pPr>
            <w:r>
              <w:rPr>
                <w:sz w:val="21"/>
              </w:rPr>
              <w:t>4.</w:t>
            </w:r>
            <w:r>
              <w:rPr>
                <w:sz w:val="21"/>
              </w:rPr>
              <w:t>合同期内累计出现低于合格考核评分次数超过</w:t>
            </w:r>
            <w:r>
              <w:rPr>
                <w:sz w:val="21"/>
              </w:rPr>
              <w:t>3</w:t>
            </w:r>
            <w:r>
              <w:rPr>
                <w:sz w:val="21"/>
              </w:rPr>
              <w:t>次的，甲方有权终止合同，并没收全部履约保证金。</w:t>
            </w:r>
          </w:p>
          <w:p>
            <w:pPr>
              <w:pStyle w:val="null3"/>
              <w:jc w:val="both"/>
            </w:pPr>
            <w:r>
              <w:rPr>
                <w:sz w:val="21"/>
              </w:rPr>
              <w:t>5.</w:t>
            </w:r>
            <w:r>
              <w:rPr>
                <w:sz w:val="21"/>
              </w:rPr>
              <w:t>乙方连续因同一问题发出警告</w:t>
            </w:r>
            <w:r>
              <w:rPr>
                <w:sz w:val="21"/>
              </w:rPr>
              <w:t>3</w:t>
            </w:r>
            <w:r>
              <w:rPr>
                <w:sz w:val="21"/>
              </w:rPr>
              <w:t>次，甲方有权终止合同并没收全额履约保证金。</w:t>
            </w:r>
          </w:p>
          <w:p>
            <w:pPr>
              <w:pStyle w:val="null3"/>
              <w:jc w:val="both"/>
            </w:pPr>
            <w:r>
              <w:rPr>
                <w:sz w:val="21"/>
              </w:rPr>
              <w:t>6.</w:t>
            </w:r>
            <w:r>
              <w:rPr>
                <w:sz w:val="21"/>
              </w:rPr>
              <w:t>分包单位未能按服务要求履行合同，甲方可单方面要求更换供应商，若乙方未能在规定时间满足甲方的要求，由此产生的经济损失及有关责任由乙方承担，甲方有权没收全部履约保证金。</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10</w:t>
            </w:r>
          </w:p>
        </w:tc>
        <w:tc>
          <w:tcPr>
            <w:tcW w:type="dxa" w:w="14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其他要求</w:t>
            </w:r>
          </w:p>
        </w:tc>
        <w:tc>
          <w:tcPr>
            <w:tcW w:type="dxa" w:w="6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w:t>
            </w:r>
          </w:p>
        </w:tc>
      </w:tr>
    </w:tbl>
    <w:p>
      <w:pPr>
        <w:pStyle w:val="null3"/>
        <w:ind w:firstLine="420"/>
        <w:jc w:val="both"/>
      </w:pPr>
      <w:r>
        <w:rPr>
          <w:sz w:val="21"/>
          <w:b/>
        </w:rPr>
        <w:t>四、服务对照执行标准：</w:t>
      </w:r>
    </w:p>
    <w:p>
      <w:pPr>
        <w:pStyle w:val="null3"/>
        <w:ind w:firstLine="420"/>
        <w:jc w:val="both"/>
      </w:pPr>
      <w:r>
        <w:rPr>
          <w:sz w:val="21"/>
        </w:rPr>
        <w:t>1.</w:t>
      </w:r>
      <w:r>
        <w:rPr>
          <w:sz w:val="21"/>
        </w:rPr>
        <w:t>符合中华人民共和国国家和履约地相关安全质量标准、行业技术规范标准；</w:t>
      </w:r>
    </w:p>
    <w:p>
      <w:pPr>
        <w:pStyle w:val="null3"/>
        <w:ind w:firstLine="420"/>
        <w:jc w:val="both"/>
      </w:pPr>
      <w:r>
        <w:rPr>
          <w:sz w:val="21"/>
        </w:rPr>
        <w:t>2.</w:t>
      </w:r>
      <w:r>
        <w:rPr>
          <w:sz w:val="21"/>
        </w:rPr>
        <w:t>符合采购文件和响应承诺中各方共同认可的合理要求；</w:t>
      </w:r>
    </w:p>
    <w:p>
      <w:pPr>
        <w:pStyle w:val="null3"/>
        <w:ind w:firstLine="420"/>
        <w:jc w:val="both"/>
      </w:pPr>
      <w:r>
        <w:rPr>
          <w:sz w:val="21"/>
        </w:rPr>
        <w:t>上述各类标准与法规必须是有关官方机构最新发布的现行标准版本。</w:t>
      </w:r>
    </w:p>
    <w:p>
      <w:pPr>
        <w:pStyle w:val="null3"/>
        <w:ind w:firstLine="422"/>
        <w:jc w:val="both"/>
      </w:pPr>
      <w:r>
        <w:rPr>
          <w:sz w:val="21"/>
          <w:b/>
        </w:rPr>
        <w:t>五、</w:t>
      </w:r>
      <w:r>
        <w:rPr>
          <w:sz w:val="21"/>
          <w:b/>
        </w:rPr>
        <w:t>投诉跟踪服务要求：</w:t>
      </w:r>
    </w:p>
    <w:p>
      <w:pPr>
        <w:pStyle w:val="null3"/>
        <w:ind w:firstLine="420"/>
        <w:jc w:val="both"/>
      </w:pPr>
      <w:r>
        <w:rPr>
          <w:sz w:val="21"/>
        </w:rPr>
        <w:t>1.</w:t>
      </w:r>
      <w:r>
        <w:rPr>
          <w:sz w:val="21"/>
        </w:rPr>
        <w:t>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pPr>
        <w:pStyle w:val="null3"/>
        <w:ind w:firstLine="420"/>
        <w:jc w:val="both"/>
      </w:pPr>
      <w:r>
        <w:rPr>
          <w:sz w:val="21"/>
        </w:rPr>
        <w:t>2.</w:t>
      </w:r>
      <w:r>
        <w:rPr>
          <w:sz w:val="21"/>
        </w:rPr>
        <w:t>服务期内，甲方有权按本项目的管理要求对乙方进行不定期抽查检查，若对不合格的管理服务提出警告后，仍未得到有效解决时，甲方有权终止管理合同。</w:t>
      </w:r>
    </w:p>
    <w:p>
      <w:pPr>
        <w:pStyle w:val="null3"/>
        <w:ind w:firstLine="420"/>
        <w:jc w:val="both"/>
      </w:pPr>
      <w:r>
        <w:rPr>
          <w:sz w:val="21"/>
        </w:rPr>
        <w:t>3.</w:t>
      </w:r>
      <w:r>
        <w:rPr>
          <w:sz w:val="21"/>
        </w:rPr>
        <w:t>乙方服务机构名称及地址：</w:t>
      </w:r>
    </w:p>
    <w:p>
      <w:pPr>
        <w:pStyle w:val="null3"/>
        <w:ind w:firstLine="420"/>
        <w:jc w:val="both"/>
      </w:pPr>
      <w:r>
        <w:rPr>
          <w:sz w:val="21"/>
        </w:rPr>
        <w:t>联系人</w:t>
      </w:r>
      <w:r>
        <w:rPr>
          <w:sz w:val="21"/>
        </w:rPr>
        <w:t>1</w:t>
      </w:r>
      <w:r>
        <w:rPr>
          <w:sz w:val="21"/>
        </w:rPr>
        <w:t>：         ，联系电话：           ，手机：         ；</w:t>
      </w:r>
    </w:p>
    <w:p>
      <w:pPr>
        <w:pStyle w:val="null3"/>
        <w:ind w:firstLine="420"/>
        <w:jc w:val="both"/>
      </w:pPr>
      <w:r>
        <w:rPr>
          <w:sz w:val="21"/>
        </w:rPr>
        <w:t>联系人</w:t>
      </w:r>
      <w:r>
        <w:rPr>
          <w:sz w:val="21"/>
        </w:rPr>
        <w:t>2</w:t>
      </w:r>
      <w:r>
        <w:rPr>
          <w:sz w:val="21"/>
        </w:rPr>
        <w:t>：         ，联系电话：           ，手机：         ；</w:t>
      </w:r>
    </w:p>
    <w:p>
      <w:pPr>
        <w:pStyle w:val="null3"/>
        <w:ind w:firstLine="420"/>
        <w:jc w:val="both"/>
      </w:pPr>
      <w:r>
        <w:rPr>
          <w:sz w:val="21"/>
        </w:rPr>
        <w:t>服务专线电话：</w:t>
      </w:r>
    </w:p>
    <w:p>
      <w:pPr>
        <w:pStyle w:val="null3"/>
        <w:ind w:firstLine="420"/>
        <w:jc w:val="both"/>
      </w:pPr>
      <w:r>
        <w:rPr>
          <w:sz w:val="21"/>
        </w:rPr>
        <w:t>4.</w:t>
      </w:r>
      <w:r>
        <w:rPr>
          <w:sz w:val="21"/>
        </w:rPr>
        <w:t>其他服务要求：（补充内容不得对采购文件和投标</w:t>
      </w:r>
      <w:r>
        <w:rPr>
          <w:sz w:val="21"/>
        </w:rPr>
        <w:t>/</w:t>
      </w:r>
      <w:r>
        <w:rPr>
          <w:sz w:val="21"/>
        </w:rPr>
        <w:t>响应文件作实质性修改）</w:t>
      </w:r>
    </w:p>
    <w:p>
      <w:pPr>
        <w:pStyle w:val="null3"/>
        <w:ind w:firstLine="420"/>
        <w:jc w:val="both"/>
      </w:pPr>
      <w:r>
        <w:rPr>
          <w:sz w:val="21"/>
          <w:u w:val="single"/>
        </w:rPr>
        <w:t xml:space="preserve">                                                       </w:t>
      </w:r>
      <w:r>
        <w:rPr>
          <w:sz w:val="21"/>
        </w:rPr>
        <w:t>。</w:t>
      </w:r>
    </w:p>
    <w:p>
      <w:pPr>
        <w:pStyle w:val="null3"/>
        <w:ind w:firstLine="422"/>
        <w:jc w:val="both"/>
      </w:pPr>
      <w:r>
        <w:rPr>
          <w:sz w:val="21"/>
          <w:b/>
        </w:rPr>
        <w:t>六</w:t>
      </w:r>
      <w:r>
        <w:rPr>
          <w:sz w:val="21"/>
          <w:b/>
        </w:rPr>
        <w:t>、</w:t>
      </w:r>
      <w:r>
        <w:rPr>
          <w:sz w:val="21"/>
          <w:b/>
        </w:rPr>
        <w:t>服务质量考核制度</w:t>
      </w:r>
    </w:p>
    <w:p>
      <w:pPr>
        <w:pStyle w:val="null3"/>
        <w:ind w:firstLine="422"/>
        <w:jc w:val="both"/>
      </w:pPr>
      <w:r>
        <w:rPr>
          <w:sz w:val="21"/>
          <w:b/>
        </w:rPr>
        <w:t>1.</w:t>
      </w:r>
      <w:r>
        <w:rPr>
          <w:sz w:val="21"/>
          <w:b/>
        </w:rPr>
        <w:t>甲方在服务期内按月度对乙方进行服务质量考核，相关负责人应在场参加，考核小组成员依据《考核细则》对乙方进行量化评比，评分满分</w:t>
      </w:r>
      <w:r>
        <w:rPr>
          <w:sz w:val="21"/>
          <w:b/>
        </w:rPr>
        <w:t>100</w:t>
      </w:r>
      <w:r>
        <w:rPr>
          <w:sz w:val="21"/>
          <w:b/>
        </w:rPr>
        <w:t>分。</w:t>
      </w:r>
    </w:p>
    <w:p>
      <w:pPr>
        <w:pStyle w:val="null3"/>
        <w:ind w:firstLine="422"/>
        <w:jc w:val="both"/>
      </w:pPr>
      <w:r>
        <w:rPr>
          <w:sz w:val="21"/>
          <w:b/>
        </w:rPr>
        <w:t>2.</w:t>
      </w:r>
      <w:r>
        <w:rPr>
          <w:sz w:val="21"/>
          <w:b/>
        </w:rPr>
        <w:t>甲方根据考评系数收取当月服务费：（</w:t>
      </w:r>
      <w:r>
        <w:rPr>
          <w:sz w:val="21"/>
          <w:b/>
        </w:rPr>
        <w:t>1</w:t>
      </w:r>
      <w:r>
        <w:rPr>
          <w:sz w:val="21"/>
          <w:b/>
        </w:rPr>
        <w:t>）每月综合服务考核评分满分为</w:t>
      </w:r>
      <w:r>
        <w:rPr>
          <w:sz w:val="21"/>
          <w:b/>
        </w:rPr>
        <w:t>100</w:t>
      </w:r>
      <w:r>
        <w:rPr>
          <w:sz w:val="21"/>
          <w:b/>
        </w:rPr>
        <w:t>分，合格标准为</w:t>
      </w:r>
      <w:r>
        <w:rPr>
          <w:sz w:val="21"/>
          <w:b/>
        </w:rPr>
        <w:t>80</w:t>
      </w:r>
      <w:r>
        <w:rPr>
          <w:sz w:val="21"/>
          <w:b/>
        </w:rPr>
        <w:t>分，考核评分低于</w:t>
      </w:r>
      <w:r>
        <w:rPr>
          <w:sz w:val="21"/>
          <w:b/>
        </w:rPr>
        <w:t>80</w:t>
      </w:r>
      <w:r>
        <w:rPr>
          <w:sz w:val="21"/>
          <w:b/>
        </w:rPr>
        <w:t>分的每下降</w:t>
      </w:r>
      <w:r>
        <w:rPr>
          <w:sz w:val="21"/>
          <w:b/>
        </w:rPr>
        <w:t>1</w:t>
      </w:r>
      <w:r>
        <w:rPr>
          <w:sz w:val="21"/>
          <w:b/>
        </w:rPr>
        <w:t>分扣除当月结算金额的</w:t>
      </w:r>
      <w:r>
        <w:rPr>
          <w:sz w:val="21"/>
          <w:b/>
        </w:rPr>
        <w:t>1%</w:t>
      </w:r>
      <w:r>
        <w:rPr>
          <w:sz w:val="21"/>
          <w:b/>
        </w:rPr>
        <w:t>。（</w:t>
      </w:r>
      <w:r>
        <w:rPr>
          <w:sz w:val="21"/>
          <w:b/>
        </w:rPr>
        <w:t>2</w:t>
      </w:r>
      <w:r>
        <w:rPr>
          <w:sz w:val="21"/>
          <w:b/>
        </w:rPr>
        <w:t>）合同期内累计出现低于合格考核评分次数超过</w:t>
      </w:r>
      <w:r>
        <w:rPr>
          <w:sz w:val="21"/>
          <w:b/>
        </w:rPr>
        <w:t>3</w:t>
      </w:r>
      <w:r>
        <w:rPr>
          <w:sz w:val="21"/>
          <w:b/>
        </w:rPr>
        <w:t>次的，采购人有权单方面解除合同，且不再支付任何费用，并没收全额履约保证金。乙方须及时对甲方提出的存在问题作出响应并实施整改，次月未作出整改的，甲方将发出警告</w:t>
      </w:r>
      <w:r>
        <w:rPr>
          <w:sz w:val="21"/>
          <w:b/>
        </w:rPr>
        <w:t>1</w:t>
      </w:r>
      <w:r>
        <w:rPr>
          <w:sz w:val="21"/>
          <w:b/>
        </w:rPr>
        <w:t>次，连续因同一问题发出警告</w:t>
      </w:r>
      <w:r>
        <w:rPr>
          <w:sz w:val="21"/>
          <w:b/>
        </w:rPr>
        <w:t>3</w:t>
      </w:r>
      <w:r>
        <w:rPr>
          <w:sz w:val="21"/>
          <w:b/>
        </w:rPr>
        <w:t>次，甲方有权终止合同并没收全额履约保证金。甲方有权根据实际情况修改考核内容，对考核细则保持最终修改权和解释权。</w:t>
      </w:r>
    </w:p>
    <w:tbl>
      <w:tblPr>
        <w:tblW w:w="0" w:type="auto"/>
        <w:tblBorders>
          <w:top w:val="none" w:color="000000" w:sz="4"/>
          <w:left w:val="none" w:color="000000" w:sz="4"/>
          <w:bottom w:val="none" w:color="000000" w:sz="4"/>
          <w:right w:val="none" w:color="000000" w:sz="4"/>
          <w:insideH w:val="none"/>
          <w:insideV w:val="none"/>
        </w:tblBorders>
      </w:tblPr>
      <w:tblGrid>
        <w:gridCol w:w="704"/>
        <w:gridCol w:w="734"/>
        <w:gridCol w:w="2744"/>
        <w:gridCol w:w="660"/>
        <w:gridCol w:w="3214"/>
        <w:gridCol w:w="249"/>
      </w:tblGrid>
      <w:tr>
        <w:tc>
          <w:tcPr>
            <w:tcW w:type="dxa" w:w="8056"/>
            <w:gridSpan w:val="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食材配送服务考核细则表（满分</w:t>
            </w:r>
            <w:r>
              <w:rPr>
                <w:sz w:val="21"/>
              </w:rPr>
              <w:t>100</w:t>
            </w:r>
            <w:r>
              <w:rPr>
                <w:sz w:val="21"/>
              </w:rPr>
              <w:t>分）     年   月</w:t>
            </w:r>
          </w:p>
          <w:p>
            <w:pPr>
              <w:pStyle w:val="null3"/>
              <w:jc w:val="left"/>
            </w:pPr>
            <w:r>
              <w:rPr>
                <w:sz w:val="21"/>
              </w:rPr>
              <w:t>人员类别：</w:t>
            </w:r>
            <w:r>
              <w:rPr>
                <w:sz w:val="21"/>
              </w:rPr>
              <w:t>□</w:t>
            </w:r>
            <w:r>
              <w:rPr>
                <w:sz w:val="21"/>
              </w:rPr>
              <w:t xml:space="preserve">领导  </w:t>
            </w:r>
            <w:r>
              <w:rPr>
                <w:sz w:val="21"/>
              </w:rPr>
              <w:t>□</w:t>
            </w:r>
            <w:r>
              <w:rPr>
                <w:sz w:val="21"/>
              </w:rPr>
              <w:t xml:space="preserve">厨房组长  </w:t>
            </w:r>
            <w:r>
              <w:rPr>
                <w:sz w:val="21"/>
              </w:rPr>
              <w:t>□</w:t>
            </w:r>
            <w:r>
              <w:rPr>
                <w:sz w:val="21"/>
              </w:rPr>
              <w:t xml:space="preserve">其他工作人员   </w:t>
            </w:r>
          </w:p>
          <w:p>
            <w:pPr>
              <w:pStyle w:val="null3"/>
              <w:jc w:val="left"/>
            </w:pPr>
            <w:r>
              <w:rPr>
                <w:sz w:val="21"/>
              </w:rPr>
              <w:t>签名：</w:t>
            </w: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项类</w:t>
            </w:r>
          </w:p>
        </w:tc>
        <w:tc>
          <w:tcPr>
            <w:tcW w:type="dxa" w:w="73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274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评分细则</w:t>
            </w:r>
          </w:p>
        </w:tc>
        <w:tc>
          <w:tcPr>
            <w:tcW w:type="dxa" w:w="66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扣分</w:t>
            </w:r>
          </w:p>
        </w:tc>
        <w:tc>
          <w:tcPr>
            <w:tcW w:type="dxa" w:w="321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配送要求</w:t>
            </w: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配送车辆、实际运输不符合磋商文及合同约定的，一次扣</w:t>
            </w:r>
            <w:r>
              <w:rPr>
                <w:sz w:val="21"/>
              </w:rPr>
              <w:t>2</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在服务期内，未在规定时间内完成配送、供货，一次扣</w:t>
            </w:r>
            <w:r>
              <w:rPr>
                <w:sz w:val="21"/>
              </w:rPr>
              <w:t>2</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实际配送货物少于订购数量且不能及时补充的，一次扣</w:t>
            </w:r>
            <w:r>
              <w:rPr>
                <w:sz w:val="21"/>
              </w:rPr>
              <w:t>1</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送货单没有详细注明商品的品牌、品种、单价、数量，送货单出现涂改，标记不清的情况的，一次扣</w:t>
            </w:r>
            <w:r>
              <w:rPr>
                <w:sz w:val="21"/>
              </w:rPr>
              <w:t>2</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实际配送的货物与订购货物种类、质量不符，未能及时更换的，甲方有权拒收，一次扣</w:t>
            </w:r>
            <w:r>
              <w:rPr>
                <w:sz w:val="21"/>
              </w:rPr>
              <w:t>6</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人员没有出示健康证，没有穿着工衣和配戴胸卡的，一次扣</w:t>
            </w:r>
            <w:r>
              <w:rPr>
                <w:sz w:val="21"/>
              </w:rPr>
              <w:t>1</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质量要求</w:t>
            </w: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相应批次的货物未能提供对应合格检验证明的，一次扣</w:t>
            </w:r>
            <w:r>
              <w:rPr>
                <w:sz w:val="21"/>
              </w:rPr>
              <w:t>5</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食品质量不符合要求，出现质量问题或造成食物中毒等，每次扣</w:t>
            </w:r>
            <w:r>
              <w:rPr>
                <w:sz w:val="21"/>
              </w:rPr>
              <w:t>15</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乙方应支付</w:t>
            </w:r>
            <w:r>
              <w:rPr>
                <w:sz w:val="21"/>
              </w:rPr>
              <w:t>10</w:t>
            </w:r>
            <w:r>
              <w:rPr>
                <w:sz w:val="21"/>
              </w:rPr>
              <w:t>万元违约金，还应承担由此造成的全部法律责任及经济损失赔偿（主要包括但不限于食物中毒人员医疗费、误工费、事故处理费等），甲方有权单方终止合同。</w:t>
            </w: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同一品种货物一次（含本数）以上发现质量不合格产品的，扣</w:t>
            </w:r>
            <w:r>
              <w:rPr>
                <w:sz w:val="21"/>
              </w:rPr>
              <w:t>2</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把用户验收不合格退货的货物重新配送给园方的，每发现一次扣</w:t>
            </w:r>
            <w:r>
              <w:rPr>
                <w:sz w:val="21"/>
              </w:rPr>
              <w:t>2</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乙方在包装、运输、装卸等环节不符合食品卫生要求的，每发现一次扣</w:t>
            </w:r>
            <w:r>
              <w:rPr>
                <w:sz w:val="21"/>
              </w:rPr>
              <w:t>2</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货物出现质量问题，乙方不积极配合查找原因，不及时反馈处理结果的，每次扣</w:t>
            </w:r>
            <w:r>
              <w:rPr>
                <w:sz w:val="21"/>
              </w:rPr>
              <w:t>2</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安全生产管理</w:t>
            </w:r>
          </w:p>
          <w:p>
            <w:pPr>
              <w:pStyle w:val="null3"/>
              <w:jc w:val="center"/>
            </w:pPr>
            <w:r>
              <w:rPr>
                <w:sz w:val="21"/>
              </w:rPr>
              <w:t>要求</w:t>
            </w: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没有建立、健全本单位安全生产责任制，制定安全生产规章制度和操作规程，或违反制度操作的，一次扣</w:t>
            </w:r>
            <w:r>
              <w:rPr>
                <w:sz w:val="21"/>
              </w:rPr>
              <w:t>3</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没有相关应急预案的，一次扣</w:t>
            </w:r>
            <w:r>
              <w:rPr>
                <w:sz w:val="21"/>
              </w:rPr>
              <w:t>3</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造成重大事故或有重大事故不配合处理的，一次扣</w:t>
            </w:r>
            <w:r>
              <w:rPr>
                <w:sz w:val="21"/>
              </w:rPr>
              <w:t>10</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未按要求及时、如实报告生产安全事故，一次扣</w:t>
            </w:r>
            <w:r>
              <w:rPr>
                <w:sz w:val="21"/>
              </w:rPr>
              <w:t>8</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提供资料弄虚作假的，一次扣</w:t>
            </w:r>
            <w:r>
              <w:rPr>
                <w:sz w:val="21"/>
              </w:rPr>
              <w:t>4</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纪律要求</w:t>
            </w: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出现联手哄抬物价现象的，一经查实，一经发现扣</w:t>
            </w:r>
            <w:r>
              <w:rPr>
                <w:sz w:val="21"/>
              </w:rPr>
              <w:t>10</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向验收货人进行物质、金钱行贿，一经核实扣</w:t>
            </w:r>
            <w:r>
              <w:rPr>
                <w:sz w:val="21"/>
              </w:rPr>
              <w:t>8</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考核评分要求</w:t>
            </w: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被用户投诉，情况属实的，每宗扣</w:t>
            </w:r>
            <w:r>
              <w:rPr>
                <w:sz w:val="21"/>
              </w:rPr>
              <w:t>2</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704"/>
            <w:vMerge/>
            <w:tcBorders>
              <w:top w:val="none" w:color="000000" w:sz="4"/>
              <w:left w:val="single" w:color="000000" w:sz="4"/>
              <w:bottom w:val="single" w:color="000000" w:sz="4"/>
              <w:right w:val="single" w:color="000000" w:sz="4"/>
            </w:tcBorders>
          </w:tcPr>
          <w:p/>
        </w:tc>
        <w:tc>
          <w:tcPr>
            <w:tcW w:type="dxa" w:w="7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被媒体负面曝光的，每宗扣</w:t>
            </w:r>
            <w:r>
              <w:rPr>
                <w:sz w:val="21"/>
              </w:rPr>
              <w:t>10</w:t>
            </w:r>
            <w:r>
              <w:rPr>
                <w:sz w:val="21"/>
              </w:rPr>
              <w:t>分。</w:t>
            </w:r>
          </w:p>
        </w:tc>
        <w:tc>
          <w:tcPr>
            <w:tcW w:type="dxa" w:w="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842"/>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考核得分（总分</w:t>
            </w:r>
            <w:r>
              <w:rPr>
                <w:sz w:val="21"/>
              </w:rPr>
              <w:t>100</w:t>
            </w:r>
            <w:r>
              <w:rPr>
                <w:sz w:val="21"/>
              </w:rPr>
              <w:t>）</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4842"/>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评定结果</w:t>
            </w:r>
          </w:p>
        </w:tc>
        <w:tc>
          <w:tcPr>
            <w:tcW w:type="dxa" w:w="321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49"/>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8305"/>
            <w:gridSpan w:val="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1"/>
                <w:b/>
              </w:rPr>
              <w:t>饭堂考核表</w:t>
            </w:r>
            <w:r>
              <w:rPr>
                <w:sz w:val="21"/>
                <w:b/>
              </w:rPr>
              <w:t xml:space="preserve">   </w:t>
            </w:r>
            <w:r>
              <w:rPr>
                <w:sz w:val="21"/>
                <w:b/>
              </w:rPr>
              <w:t>（</w:t>
            </w:r>
            <w:r>
              <w:rPr>
                <w:sz w:val="21"/>
                <w:b/>
              </w:rPr>
              <w:t xml:space="preserve">     </w:t>
            </w:r>
            <w:r>
              <w:rPr>
                <w:sz w:val="21"/>
                <w:b/>
              </w:rPr>
              <w:t>年</w:t>
            </w:r>
            <w:r>
              <w:rPr>
                <w:sz w:val="21"/>
                <w:b/>
              </w:rPr>
              <w:t xml:space="preserve">    </w:t>
            </w:r>
            <w:r>
              <w:rPr>
                <w:sz w:val="21"/>
                <w:b/>
              </w:rPr>
              <w:t>月）</w:t>
            </w:r>
          </w:p>
          <w:p>
            <w:pPr>
              <w:pStyle w:val="null3"/>
              <w:jc w:val="left"/>
            </w:pPr>
            <w:r>
              <w:rPr>
                <w:sz w:val="21"/>
              </w:rPr>
              <w:t>人员类别：</w:t>
            </w:r>
            <w:r>
              <w:rPr>
                <w:sz w:val="21"/>
              </w:rPr>
              <w:t>饭堂</w:t>
            </w:r>
            <w:r>
              <w:rPr>
                <w:sz w:val="21"/>
              </w:rPr>
              <w:t>工作人员</w:t>
            </w:r>
            <w:r>
              <w:rPr>
                <w:sz w:val="21"/>
              </w:rPr>
              <w:t xml:space="preserve">                 </w:t>
            </w:r>
            <w:r>
              <w:rPr>
                <w:sz w:val="21"/>
              </w:rPr>
              <w:t>考核人签名：</w:t>
            </w:r>
          </w:p>
          <w:tbl>
            <w:tblPr>
              <w:tblBorders>
                <w:top w:val="none" w:color="000000" w:sz="4"/>
                <w:left w:val="none" w:color="000000" w:sz="4"/>
                <w:bottom w:val="none" w:color="000000" w:sz="4"/>
                <w:right w:val="none" w:color="000000" w:sz="4"/>
                <w:insideH w:val="none"/>
                <w:insideV w:val="none"/>
              </w:tblBorders>
            </w:tblPr>
            <w:tblGrid>
              <w:gridCol w:w="470"/>
              <w:gridCol w:w="744"/>
              <w:gridCol w:w="850"/>
              <w:gridCol w:w="3157"/>
              <w:gridCol w:w="804"/>
              <w:gridCol w:w="2064"/>
            </w:tblGrid>
            <w:tr>
              <w:tc>
                <w:tcPr>
                  <w:tcW w:type="dxa" w:w="47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74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考核项目</w:t>
                  </w:r>
                </w:p>
              </w:tc>
              <w:tc>
                <w:tcPr>
                  <w:tcW w:type="dxa" w:w="85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主要考核指标</w:t>
                  </w:r>
                </w:p>
              </w:tc>
              <w:tc>
                <w:tcPr>
                  <w:tcW w:type="dxa" w:w="315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评分标准</w:t>
                  </w:r>
                </w:p>
              </w:tc>
              <w:tc>
                <w:tcPr>
                  <w:tcW w:type="dxa" w:w="80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标准分值（分）</w:t>
                  </w:r>
                </w:p>
              </w:tc>
              <w:tc>
                <w:tcPr>
                  <w:tcW w:type="dxa" w:w="206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考核得分（分）</w:t>
                  </w: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4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安全考核</w:t>
                  </w:r>
                </w:p>
              </w:tc>
              <w:tc>
                <w:tcPr>
                  <w:tcW w:type="dxa" w:w="850"/>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食品安全</w:t>
                  </w: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严格进货渠道，拒绝腐烂、霉变、污染食品</w:t>
                  </w:r>
                  <w:r>
                    <w:rPr>
                      <w:sz w:val="21"/>
                    </w:rPr>
                    <w:t>,</w:t>
                  </w:r>
                  <w:r>
                    <w:rPr>
                      <w:sz w:val="21"/>
                    </w:rPr>
                    <w:t>杜绝腐烂变质原料下锅。违反此条扣</w:t>
                  </w:r>
                  <w:r>
                    <w:rPr>
                      <w:sz w:val="21"/>
                    </w:rPr>
                    <w:t>10</w:t>
                  </w:r>
                  <w:r>
                    <w:rPr>
                      <w:sz w:val="21"/>
                    </w:rPr>
                    <w:t>分。</w:t>
                  </w:r>
                </w:p>
              </w:tc>
              <w:tc>
                <w:tcPr>
                  <w:tcW w:type="dxa" w:w="8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食堂做到人走门锁，关闭无用电源重点区域严禁闲杂人员进入。违反此条扣</w:t>
                  </w:r>
                  <w:r>
                    <w:rPr>
                      <w:sz w:val="21"/>
                    </w:rPr>
                    <w:t>2</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配餐食品必须留样。违反此条扣</w:t>
                  </w:r>
                  <w:r>
                    <w:rPr>
                      <w:sz w:val="21"/>
                    </w:rPr>
                    <w:t>3</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744"/>
                  <w:vMerge/>
                  <w:tcBorders>
                    <w:top w:val="none" w:color="000000" w:sz="4"/>
                    <w:left w:val="none" w:color="000000" w:sz="4"/>
                    <w:bottom w:val="single" w:color="000000" w:sz="4"/>
                    <w:right w:val="single" w:color="000000" w:sz="4"/>
                  </w:tcBorders>
                </w:tcPr>
                <w:p/>
              </w:tc>
              <w:tc>
                <w:tcPr>
                  <w:tcW w:type="dxa" w:w="850"/>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操作间安全</w:t>
                  </w: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无失火、工伤事故发生。违反此条规定扣</w:t>
                  </w:r>
                  <w:r>
                    <w:rPr>
                      <w:sz w:val="21"/>
                    </w:rPr>
                    <w:t>5</w:t>
                  </w:r>
                  <w:r>
                    <w:rPr>
                      <w:sz w:val="21"/>
                    </w:rPr>
                    <w:t>分。</w:t>
                  </w:r>
                </w:p>
              </w:tc>
              <w:tc>
                <w:tcPr>
                  <w:tcW w:type="dxa" w:w="8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电源、厨具合理使用，定期进行检查、维护。违反此条扣</w:t>
                  </w:r>
                  <w:r>
                    <w:rPr>
                      <w:sz w:val="21"/>
                    </w:rPr>
                    <w:t>2</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厨房内严禁明火，禁止吸烟。违反此条扣</w:t>
                  </w:r>
                  <w:r>
                    <w:rPr>
                      <w:sz w:val="21"/>
                    </w:rPr>
                    <w:t>3</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744"/>
                  <w:vMerge/>
                  <w:tcBorders>
                    <w:top w:val="none" w:color="000000" w:sz="4"/>
                    <w:left w:val="none" w:color="000000" w:sz="4"/>
                    <w:bottom w:val="single" w:color="000000" w:sz="4"/>
                    <w:right w:val="single" w:color="000000" w:sz="4"/>
                  </w:tcBorders>
                </w:tcPr>
                <w:p/>
              </w:tc>
              <w:tc>
                <w:tcPr>
                  <w:tcW w:type="dxa" w:w="850"/>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食品溯源要求</w:t>
                  </w: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具有食品、食品添加剂、食品相关产品的随货证明文件、每笔购物或送货凭证。违反此条规定扣</w:t>
                  </w:r>
                  <w:r>
                    <w:rPr>
                      <w:sz w:val="21"/>
                    </w:rPr>
                    <w:t>2</w:t>
                  </w:r>
                  <w:r>
                    <w:rPr>
                      <w:sz w:val="21"/>
                    </w:rPr>
                    <w:t>分。</w:t>
                  </w:r>
                </w:p>
              </w:tc>
              <w:tc>
                <w:tcPr>
                  <w:tcW w:type="dxa" w:w="8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使用集中消毒餐饮具的，具有集中消毒餐饮具企业的营业执照和产品的消毒合格证明。违反此条规定扣</w:t>
                  </w:r>
                  <w:r>
                    <w:rPr>
                      <w:sz w:val="21"/>
                    </w:rPr>
                    <w:t>3</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采购畜禽肉类的，还具有动物产品检疫合格证明；采购猪肉的，还具有肉品品质检验合格证明和非洲猪瘟病毒检测合格报告。保存期限符合规定。违反此条规定扣</w:t>
                  </w:r>
                  <w:r>
                    <w:rPr>
                      <w:sz w:val="21"/>
                    </w:rPr>
                    <w:t>5</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744"/>
                  <w:vMerge/>
                  <w:tcBorders>
                    <w:top w:val="none" w:color="000000" w:sz="4"/>
                    <w:left w:val="none" w:color="000000" w:sz="4"/>
                    <w:bottom w:val="single" w:color="000000" w:sz="4"/>
                    <w:right w:val="single" w:color="000000" w:sz="4"/>
                  </w:tcBorders>
                </w:tcPr>
                <w:p/>
              </w:tc>
              <w:tc>
                <w:tcPr>
                  <w:tcW w:type="dxa" w:w="850"/>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食堂工作人员卫生</w:t>
                  </w: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严格个人卫生制度，做到五</w:t>
                  </w:r>
                  <w:r>
                    <w:rPr>
                      <w:sz w:val="21"/>
                    </w:rPr>
                    <w:t>:</w:t>
                  </w:r>
                  <w:r>
                    <w:rPr>
                      <w:sz w:val="21"/>
                    </w:rPr>
                    <w:t>勤洗手、勤洗澡、動理发、到换衣、勤剪指甲，严禁在操作间内吸烟。违反一项扣</w:t>
                  </w:r>
                  <w:r>
                    <w:rPr>
                      <w:sz w:val="21"/>
                    </w:rPr>
                    <w:t>3</w:t>
                  </w:r>
                  <w:r>
                    <w:rPr>
                      <w:sz w:val="21"/>
                    </w:rPr>
                    <w:t>分。</w:t>
                  </w:r>
                </w:p>
              </w:tc>
              <w:tc>
                <w:tcPr>
                  <w:tcW w:type="dxa" w:w="8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食堂工作人员应穿整洁的工作衣，头发应整齐并置于帽内，违反一项扣</w:t>
                  </w:r>
                  <w:r>
                    <w:rPr>
                      <w:sz w:val="21"/>
                    </w:rPr>
                    <w:t>3</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人员持有效《健康证》，司机还需持《驾驶证》上岗，配送转运车辆每天消毒，违反一项扣</w:t>
                  </w:r>
                  <w:r>
                    <w:rPr>
                      <w:sz w:val="21"/>
                    </w:rPr>
                    <w:t>4</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744"/>
                  <w:vMerge/>
                  <w:tcBorders>
                    <w:top w:val="none" w:color="000000" w:sz="4"/>
                    <w:left w:val="none" w:color="000000" w:sz="4"/>
                    <w:bottom w:val="single" w:color="000000" w:sz="4"/>
                    <w:right w:val="single" w:color="000000" w:sz="4"/>
                  </w:tcBorders>
                </w:tcPr>
                <w:p/>
              </w:tc>
              <w:tc>
                <w:tcPr>
                  <w:tcW w:type="dxa" w:w="850"/>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基础管理</w:t>
                  </w: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食堂管理员要认真管好食堂资产和公用餐具。违反此条扣</w:t>
                  </w:r>
                  <w:r>
                    <w:rPr>
                      <w:sz w:val="21"/>
                    </w:rPr>
                    <w:t>3</w:t>
                  </w:r>
                  <w:r>
                    <w:rPr>
                      <w:sz w:val="21"/>
                    </w:rPr>
                    <w:t>分。</w:t>
                  </w:r>
                </w:p>
              </w:tc>
              <w:tc>
                <w:tcPr>
                  <w:tcW w:type="dxa" w:w="8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定期收集服务对象建议、意见。违反此条扣</w:t>
                  </w:r>
                  <w:r>
                    <w:rPr>
                      <w:sz w:val="21"/>
                    </w:rPr>
                    <w:t>3</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提交用餐刷卡记录等数据的真实、准确。违反此条扣</w:t>
                  </w:r>
                  <w:r>
                    <w:rPr>
                      <w:sz w:val="21"/>
                    </w:rPr>
                    <w:t>7</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供餐时间保证在</w:t>
                  </w:r>
                  <w:r>
                    <w:rPr>
                      <w:sz w:val="21"/>
                    </w:rPr>
                    <w:t>11:00-12:00</w:t>
                  </w:r>
                  <w:r>
                    <w:rPr>
                      <w:sz w:val="21"/>
                    </w:rPr>
                    <w:t>。未达到扣</w:t>
                  </w:r>
                  <w:r>
                    <w:rPr>
                      <w:sz w:val="21"/>
                    </w:rPr>
                    <w:t>2</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74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服务态度</w:t>
                  </w:r>
                </w:p>
              </w:tc>
              <w:tc>
                <w:tcPr>
                  <w:tcW w:type="dxa" w:w="850"/>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服务对象考核评分</w:t>
                  </w: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优质服务，做到文明礼貌，主动热情，尽量避免与就餐人员发生矛盾。违反此条扣</w:t>
                  </w:r>
                  <w:r>
                    <w:rPr>
                      <w:sz w:val="21"/>
                    </w:rPr>
                    <w:t>5</w:t>
                  </w:r>
                  <w:r>
                    <w:rPr>
                      <w:sz w:val="21"/>
                    </w:rPr>
                    <w:t>分。</w:t>
                  </w:r>
                </w:p>
              </w:tc>
              <w:tc>
                <w:tcPr>
                  <w:tcW w:type="dxa" w:w="8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对购买方提出的建议、意见积极采纳，对服务对象提出的意见和建议认真听取，迅速改正。违反此条</w:t>
                  </w:r>
                  <w:r>
                    <w:rPr>
                      <w:sz w:val="21"/>
                    </w:rPr>
                    <w:t>5</w:t>
                  </w:r>
                  <w:r>
                    <w:rPr>
                      <w:sz w:val="21"/>
                    </w:rPr>
                    <w:t>扣分。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74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营养</w:t>
                  </w:r>
                </w:p>
              </w:tc>
              <w:tc>
                <w:tcPr>
                  <w:tcW w:type="dxa" w:w="850"/>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科学饮食及营养配餐</w:t>
                  </w: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搭配合理、营养结构均衡</w:t>
                  </w:r>
                  <w:r>
                    <w:rPr>
                      <w:sz w:val="21"/>
                    </w:rPr>
                    <w:t>:</w:t>
                  </w:r>
                  <w:r>
                    <w:rPr>
                      <w:sz w:val="21"/>
                    </w:rPr>
                    <w:t>每周更新一次食谱。未做到一项扣</w:t>
                  </w:r>
                  <w:r>
                    <w:rPr>
                      <w:sz w:val="21"/>
                    </w:rPr>
                    <w:t>5</w:t>
                  </w:r>
                  <w:r>
                    <w:rPr>
                      <w:sz w:val="21"/>
                    </w:rPr>
                    <w:t>分。</w:t>
                  </w:r>
                </w:p>
              </w:tc>
              <w:tc>
                <w:tcPr>
                  <w:tcW w:type="dxa" w:w="804"/>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744"/>
                  <w:vMerge/>
                  <w:tcBorders>
                    <w:top w:val="none" w:color="000000" w:sz="4"/>
                    <w:left w:val="none" w:color="000000" w:sz="4"/>
                    <w:bottom w:val="single" w:color="000000" w:sz="4"/>
                    <w:right w:val="single" w:color="000000" w:sz="4"/>
                  </w:tcBorders>
                </w:tcPr>
                <w:p/>
              </w:tc>
              <w:tc>
                <w:tcPr>
                  <w:tcW w:type="dxa" w:w="850"/>
                  <w:vMerge/>
                  <w:tcBorders>
                    <w:top w:val="none" w:color="000000" w:sz="4"/>
                    <w:left w:val="none" w:color="000000" w:sz="4"/>
                    <w:bottom w:val="single" w:color="000000" w:sz="4"/>
                    <w:right w:val="single" w:color="000000" w:sz="4"/>
                  </w:tcBorders>
                </w:tcP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饭菜做到色、香、味俱全。未做到此条扣</w:t>
                  </w:r>
                  <w:r>
                    <w:rPr>
                      <w:sz w:val="21"/>
                    </w:rPr>
                    <w:t>5</w:t>
                  </w:r>
                  <w:r>
                    <w:rPr>
                      <w:sz w:val="21"/>
                    </w:rPr>
                    <w:t>分。</w:t>
                  </w:r>
                </w:p>
              </w:tc>
              <w:tc>
                <w:tcPr>
                  <w:tcW w:type="dxa" w:w="804"/>
                  <w:vMerge/>
                  <w:tcBorders>
                    <w:top w:val="none" w:color="000000" w:sz="4"/>
                    <w:left w:val="none" w:color="000000" w:sz="4"/>
                    <w:bottom w:val="single" w:color="000000" w:sz="4"/>
                    <w:right w:val="single" w:color="000000" w:sz="4"/>
                  </w:tcBorders>
                </w:tcP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4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74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服务成效</w:t>
                  </w:r>
                </w:p>
              </w:tc>
              <w:tc>
                <w:tcPr>
                  <w:tcW w:type="dxa" w:w="85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满意度考核评分</w:t>
                  </w:r>
                </w:p>
              </w:tc>
              <w:tc>
                <w:tcPr>
                  <w:tcW w:type="dxa" w:w="31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每月随机调查</w:t>
                  </w:r>
                  <w:r>
                    <w:rPr>
                      <w:sz w:val="21"/>
                    </w:rPr>
                    <w:t>10</w:t>
                  </w:r>
                  <w:r>
                    <w:rPr>
                      <w:sz w:val="21"/>
                    </w:rPr>
                    <w:t>名群众进行满意度调查：</w:t>
                  </w:r>
                </w:p>
                <w:p>
                  <w:pPr>
                    <w:pStyle w:val="null3"/>
                    <w:jc w:val="left"/>
                  </w:pPr>
                  <w:r>
                    <w:rPr>
                      <w:sz w:val="21"/>
                    </w:rPr>
                    <w:t>1</w:t>
                  </w:r>
                  <w:r>
                    <w:rPr>
                      <w:sz w:val="21"/>
                    </w:rPr>
                    <w:t>、满意、基本满意合计总数</w:t>
                  </w:r>
                  <w:r>
                    <w:rPr>
                      <w:sz w:val="21"/>
                    </w:rPr>
                    <w:t>9</w:t>
                  </w:r>
                  <w:r>
                    <w:rPr>
                      <w:sz w:val="21"/>
                    </w:rPr>
                    <w:t>（含）以上，可得</w:t>
                  </w:r>
                  <w:r>
                    <w:rPr>
                      <w:sz w:val="21"/>
                    </w:rPr>
                    <w:t>20</w:t>
                  </w:r>
                  <w:r>
                    <w:rPr>
                      <w:sz w:val="21"/>
                    </w:rPr>
                    <w:t>分</w:t>
                  </w:r>
                </w:p>
                <w:p>
                  <w:pPr>
                    <w:pStyle w:val="null3"/>
                    <w:jc w:val="left"/>
                  </w:pPr>
                  <w:r>
                    <w:rPr>
                      <w:sz w:val="21"/>
                    </w:rPr>
                    <w:t>2</w:t>
                  </w:r>
                  <w:r>
                    <w:rPr>
                      <w:sz w:val="21"/>
                    </w:rPr>
                    <w:t>、满意、基本满意合计总数</w:t>
                  </w:r>
                  <w:r>
                    <w:rPr>
                      <w:sz w:val="21"/>
                    </w:rPr>
                    <w:t>6-8</w:t>
                  </w:r>
                  <w:r>
                    <w:rPr>
                      <w:sz w:val="21"/>
                    </w:rPr>
                    <w:t>人，扣</w:t>
                  </w:r>
                  <w:r>
                    <w:rPr>
                      <w:sz w:val="21"/>
                    </w:rPr>
                    <w:t>5</w:t>
                  </w:r>
                  <w:r>
                    <w:rPr>
                      <w:sz w:val="21"/>
                    </w:rPr>
                    <w:t>分，可得</w:t>
                  </w:r>
                  <w:r>
                    <w:rPr>
                      <w:sz w:val="21"/>
                    </w:rPr>
                    <w:t>15</w:t>
                  </w:r>
                  <w:r>
                    <w:rPr>
                      <w:sz w:val="21"/>
                    </w:rPr>
                    <w:t>分。</w:t>
                  </w:r>
                </w:p>
                <w:p>
                  <w:pPr>
                    <w:pStyle w:val="null3"/>
                    <w:jc w:val="left"/>
                  </w:pPr>
                  <w:r>
                    <w:rPr>
                      <w:sz w:val="21"/>
                    </w:rPr>
                    <w:t>3</w:t>
                  </w:r>
                  <w:r>
                    <w:rPr>
                      <w:sz w:val="21"/>
                    </w:rPr>
                    <w:t>、满意、基本满意合计总数</w:t>
                  </w:r>
                  <w:r>
                    <w:rPr>
                      <w:sz w:val="21"/>
                    </w:rPr>
                    <w:t>5</w:t>
                  </w:r>
                  <w:r>
                    <w:rPr>
                      <w:sz w:val="21"/>
                    </w:rPr>
                    <w:t>人以下（含）扣</w:t>
                  </w:r>
                  <w:r>
                    <w:rPr>
                      <w:sz w:val="21"/>
                    </w:rPr>
                    <w:t>15</w:t>
                  </w:r>
                  <w:r>
                    <w:rPr>
                      <w:sz w:val="21"/>
                    </w:rPr>
                    <w:t>分，可得</w:t>
                  </w:r>
                  <w:r>
                    <w:rPr>
                      <w:sz w:val="21"/>
                    </w:rPr>
                    <w:t>5</w:t>
                  </w:r>
                  <w:r>
                    <w:rPr>
                      <w:sz w:val="21"/>
                    </w:rPr>
                    <w:t>分。</w:t>
                  </w:r>
                </w:p>
              </w:tc>
              <w:tc>
                <w:tcPr>
                  <w:tcW w:type="dxa" w:w="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5221"/>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考核得分</w:t>
                  </w:r>
                </w:p>
              </w:tc>
              <w:tc>
                <w:tcPr>
                  <w:tcW w:type="dxa" w:w="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w:t>
                  </w: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6025"/>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评定结果</w:t>
                  </w:r>
                </w:p>
              </w:tc>
              <w:tc>
                <w:tcPr>
                  <w:tcW w:type="dxa" w:w="20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bl>
          <w:p/>
        </w:tc>
      </w:tr>
    </w:tbl>
    <w:p>
      <w:pPr>
        <w:pStyle w:val="null3"/>
        <w:jc w:val="both"/>
      </w:pPr>
      <w:r>
        <w:rPr>
          <w:sz w:val="21"/>
          <w:b/>
        </w:rPr>
        <w:t>七、</w:t>
      </w:r>
      <w:r>
        <w:rPr>
          <w:sz w:val="21"/>
          <w:b/>
        </w:rPr>
        <w:t>验收要求：</w:t>
      </w:r>
    </w:p>
    <w:p>
      <w:pPr>
        <w:pStyle w:val="null3"/>
        <w:ind w:firstLine="420"/>
        <w:jc w:val="both"/>
      </w:pPr>
      <w:r>
        <w:rPr>
          <w:sz w:val="21"/>
        </w:rPr>
        <w:t>1.</w:t>
      </w:r>
      <w:r>
        <w:rPr>
          <w:sz w:val="21"/>
        </w:rPr>
        <w:t>甲方在收到乙方项目验收建议之日起</w:t>
      </w:r>
      <w:r>
        <w:rPr>
          <w:sz w:val="21"/>
        </w:rPr>
        <w:t>7</w:t>
      </w:r>
      <w:r>
        <w:rPr>
          <w:sz w:val="21"/>
        </w:rPr>
        <w:t>个工作日内按照合同的约定对履约情况进行验收。乙方需为验收提供必需的一切条件及相关费用，并提供本项目的相关文档和验收所需资料，积极配合甲方完成验收工作。</w:t>
      </w:r>
    </w:p>
    <w:p>
      <w:pPr>
        <w:pStyle w:val="null3"/>
        <w:ind w:firstLine="420"/>
        <w:jc w:val="both"/>
      </w:pPr>
      <w:r>
        <w:rPr>
          <w:sz w:val="21"/>
        </w:rPr>
        <w:t>2.</w:t>
      </w:r>
      <w:r>
        <w:rPr>
          <w:sz w:val="21"/>
        </w:rPr>
        <w:t>其他验收要求：（补充内容不得对采购文件和投标</w:t>
      </w:r>
      <w:r>
        <w:rPr>
          <w:sz w:val="21"/>
        </w:rPr>
        <w:t>/</w:t>
      </w:r>
      <w:r>
        <w:rPr>
          <w:sz w:val="21"/>
        </w:rPr>
        <w:t>响应文件作实质性修改）</w:t>
      </w:r>
    </w:p>
    <w:p>
      <w:pPr>
        <w:pStyle w:val="null3"/>
        <w:ind w:firstLine="420"/>
        <w:jc w:val="both"/>
      </w:pPr>
      <w:r>
        <w:rPr>
          <w:sz w:val="21"/>
          <w:u w:val="single"/>
        </w:rPr>
        <w:t xml:space="preserve">                                                               </w:t>
      </w:r>
      <w:r>
        <w:rPr>
          <w:sz w:val="21"/>
        </w:rPr>
        <w:t>。</w:t>
      </w:r>
    </w:p>
    <w:p>
      <w:pPr>
        <w:pStyle w:val="null3"/>
        <w:ind w:firstLine="422"/>
        <w:jc w:val="both"/>
      </w:pPr>
      <w:r>
        <w:rPr>
          <w:sz w:val="21"/>
          <w:b/>
        </w:rPr>
        <w:t>八</w:t>
      </w:r>
      <w:r>
        <w:rPr>
          <w:sz w:val="21"/>
          <w:b/>
        </w:rPr>
        <w:t>、知识产权和保密要求：</w:t>
      </w:r>
    </w:p>
    <w:p>
      <w:pPr>
        <w:pStyle w:val="null3"/>
        <w:ind w:firstLine="420"/>
        <w:jc w:val="both"/>
      </w:pPr>
      <w:r>
        <w:rPr>
          <w:sz w:val="21"/>
          <w:u w:val="single"/>
        </w:rPr>
        <w:t xml:space="preserve">                                                               </w:t>
      </w:r>
      <w:r>
        <w:rPr>
          <w:sz w:val="21"/>
        </w:rPr>
        <w:t>。</w:t>
      </w:r>
    </w:p>
    <w:p>
      <w:pPr>
        <w:pStyle w:val="null3"/>
        <w:ind w:firstLine="422"/>
        <w:jc w:val="both"/>
      </w:pPr>
      <w:r>
        <w:rPr>
          <w:sz w:val="21"/>
          <w:b/>
        </w:rPr>
        <w:t>九</w:t>
      </w:r>
      <w:r>
        <w:rPr>
          <w:sz w:val="21"/>
          <w:b/>
        </w:rPr>
        <w:t>、违约责任：</w:t>
      </w:r>
    </w:p>
    <w:p>
      <w:pPr>
        <w:pStyle w:val="null3"/>
        <w:ind w:firstLine="420"/>
        <w:jc w:val="both"/>
      </w:pPr>
      <w:r>
        <w:rPr>
          <w:sz w:val="21"/>
        </w:rPr>
        <w:t>1.</w:t>
      </w:r>
      <w:r>
        <w:rPr>
          <w:sz w:val="21"/>
        </w:rPr>
        <w:t>乙方未按要求履行合同义务时，须从违约之日起每日按合同总额的</w:t>
      </w:r>
      <w:r>
        <w:rPr>
          <w:sz w:val="21"/>
          <w:u w:val="single"/>
        </w:rPr>
        <w:t xml:space="preserve">2‰  </w:t>
      </w:r>
      <w:r>
        <w:rPr>
          <w:sz w:val="21"/>
        </w:rPr>
        <w:t>比例向甲方支付违约金；逾期</w:t>
      </w:r>
      <w:r>
        <w:rPr>
          <w:sz w:val="21"/>
          <w:u w:val="single"/>
        </w:rPr>
        <w:t>15</w:t>
      </w:r>
      <w:r>
        <w:rPr>
          <w:sz w:val="21"/>
        </w:rPr>
        <w:t>日以上时，甲方有权终止合同，由此造成甲方的经济损失由乙方承担。违约金不足以弥补损失的，乙方应按全额赔偿。</w:t>
      </w:r>
    </w:p>
    <w:p>
      <w:pPr>
        <w:pStyle w:val="null3"/>
        <w:ind w:firstLine="420"/>
        <w:jc w:val="both"/>
      </w:pPr>
      <w:r>
        <w:rPr>
          <w:sz w:val="21"/>
        </w:rPr>
        <w:t>2.</w:t>
      </w:r>
      <w:r>
        <w:rPr>
          <w:sz w:val="21"/>
        </w:rPr>
        <w:t>甲方未按要求履行合同义务时，或无故拖延验收、付款时，甲方须向乙方支付滞纳金，标准为每日按逾期应付款总额的</w:t>
      </w:r>
      <w:r>
        <w:rPr>
          <w:sz w:val="21"/>
          <w:u w:val="single"/>
        </w:rPr>
        <w:t xml:space="preserve">2‰ </w:t>
      </w:r>
      <w:r>
        <w:rPr>
          <w:sz w:val="21"/>
        </w:rPr>
        <w:t>累计。</w:t>
      </w:r>
    </w:p>
    <w:p>
      <w:pPr>
        <w:pStyle w:val="null3"/>
        <w:ind w:firstLine="422"/>
        <w:jc w:val="both"/>
      </w:pPr>
      <w:r>
        <w:rPr>
          <w:sz w:val="21"/>
          <w:b/>
        </w:rPr>
        <w:t>十</w:t>
      </w:r>
      <w:r>
        <w:rPr>
          <w:sz w:val="21"/>
          <w:b/>
        </w:rPr>
        <w:t>、提出异议的时间和方法：</w:t>
      </w:r>
    </w:p>
    <w:p>
      <w:pPr>
        <w:pStyle w:val="null3"/>
        <w:ind w:firstLine="420"/>
        <w:jc w:val="both"/>
      </w:pPr>
      <w:r>
        <w:rPr>
          <w:sz w:val="21"/>
        </w:rPr>
        <w:t>1.</w:t>
      </w:r>
      <w:r>
        <w:rPr>
          <w:sz w:val="21"/>
        </w:rPr>
        <w:t>甲方有异议时，应</w:t>
      </w:r>
      <w:r>
        <w:rPr>
          <w:sz w:val="21"/>
          <w:u w:val="single"/>
        </w:rPr>
        <w:t xml:space="preserve"> 3 </w:t>
      </w:r>
      <w:r>
        <w:rPr>
          <w:sz w:val="21"/>
        </w:rPr>
        <w:t>天内向乙方提出书面异议。</w:t>
      </w:r>
    </w:p>
    <w:p>
      <w:pPr>
        <w:pStyle w:val="null3"/>
        <w:ind w:firstLine="420"/>
        <w:jc w:val="both"/>
      </w:pPr>
      <w:r>
        <w:rPr>
          <w:sz w:val="21"/>
        </w:rPr>
        <w:t>2.</w:t>
      </w:r>
      <w:r>
        <w:rPr>
          <w:sz w:val="21"/>
        </w:rPr>
        <w:t>乙方在接到甲方书面异议后，应在</w:t>
      </w:r>
      <w:r>
        <w:rPr>
          <w:sz w:val="21"/>
        </w:rPr>
        <w:t>3</w:t>
      </w:r>
      <w:r>
        <w:rPr>
          <w:sz w:val="21"/>
        </w:rPr>
        <w:t>天内负责处理并函复甲方处理情况，否则，即视为默认甲方提出的异议和处理意见。</w:t>
      </w:r>
    </w:p>
    <w:p>
      <w:pPr>
        <w:pStyle w:val="null3"/>
        <w:ind w:firstLine="420"/>
        <w:jc w:val="both"/>
      </w:pPr>
      <w:r>
        <w:rPr>
          <w:sz w:val="21"/>
        </w:rPr>
        <w:t>3.</w:t>
      </w:r>
      <w:r>
        <w:rPr>
          <w:sz w:val="21"/>
        </w:rPr>
        <w:t>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pStyle w:val="null3"/>
        <w:ind w:firstLine="422"/>
        <w:jc w:val="both"/>
      </w:pPr>
      <w:r>
        <w:rPr>
          <w:sz w:val="21"/>
          <w:b/>
        </w:rPr>
        <w:t>十</w:t>
      </w:r>
      <w:r>
        <w:rPr>
          <w:sz w:val="21"/>
          <w:b/>
        </w:rPr>
        <w:t>一</w:t>
      </w:r>
      <w:r>
        <w:rPr>
          <w:sz w:val="21"/>
          <w:b/>
        </w:rPr>
        <w:t>、争议的解决：</w:t>
      </w:r>
    </w:p>
    <w:p>
      <w:pPr>
        <w:pStyle w:val="null3"/>
        <w:ind w:firstLine="420"/>
        <w:jc w:val="both"/>
      </w:pPr>
      <w:r>
        <w:rPr>
          <w:sz w:val="21"/>
        </w:rPr>
        <w:t>1.</w:t>
      </w:r>
      <w:r>
        <w:rPr>
          <w:sz w:val="21"/>
        </w:rPr>
        <w:t>合同履行过程中发生的任何争议，如双方未能通过友好协商解决，应向佛山市有管辖权的人民法院提起诉讼。</w:t>
      </w:r>
    </w:p>
    <w:p>
      <w:pPr>
        <w:pStyle w:val="null3"/>
        <w:ind w:firstLine="420"/>
        <w:jc w:val="both"/>
      </w:pPr>
      <w:r>
        <w:rPr>
          <w:sz w:val="21"/>
        </w:rPr>
        <w:t>2.</w:t>
      </w:r>
      <w:r>
        <w:rPr>
          <w:sz w:val="21"/>
        </w:rPr>
        <w:t>法院审理期间，除提交法院审理的事项外，其它无争议的事项和条款仍应继续履行。</w:t>
      </w:r>
    </w:p>
    <w:p>
      <w:pPr>
        <w:pStyle w:val="null3"/>
        <w:ind w:firstLine="422"/>
        <w:jc w:val="both"/>
      </w:pPr>
      <w:r>
        <w:rPr>
          <w:sz w:val="21"/>
          <w:b/>
        </w:rPr>
        <w:t>十</w:t>
      </w:r>
      <w:r>
        <w:rPr>
          <w:sz w:val="21"/>
          <w:b/>
        </w:rPr>
        <w:t>二</w:t>
      </w:r>
      <w:r>
        <w:rPr>
          <w:sz w:val="21"/>
          <w:b/>
        </w:rPr>
        <w:t>、不可抗力：</w:t>
      </w:r>
    </w:p>
    <w:p>
      <w:pPr>
        <w:pStyle w:val="null3"/>
        <w:ind w:firstLine="420"/>
        <w:jc w:val="both"/>
      </w:pPr>
      <w:r>
        <w:rPr>
          <w:sz w:val="21"/>
        </w:rPr>
        <w:t>任何一方由于不可抗力原因不能履行合同时，应在不可抗力事件结束后</w:t>
      </w:r>
      <w:r>
        <w:rPr>
          <w:sz w:val="21"/>
        </w:rPr>
        <w:t>48</w:t>
      </w:r>
      <w:r>
        <w:rPr>
          <w:sz w:val="21"/>
        </w:rPr>
        <w:t>小时内向对方通报，以减轻可能给对方造成的损失，在取得有关机构的不可抗力证明或双方谅解确认后，允许延期履行或修订合同，并根据情况可部分或全部免于承担违约责任。</w:t>
      </w:r>
    </w:p>
    <w:p>
      <w:pPr>
        <w:pStyle w:val="null3"/>
        <w:ind w:firstLine="422"/>
        <w:jc w:val="both"/>
      </w:pPr>
      <w:r>
        <w:rPr>
          <w:sz w:val="21"/>
          <w:b/>
        </w:rPr>
        <w:t>十</w:t>
      </w:r>
      <w:r>
        <w:rPr>
          <w:sz w:val="21"/>
          <w:b/>
        </w:rPr>
        <w:t>三</w:t>
      </w:r>
      <w:r>
        <w:rPr>
          <w:sz w:val="21"/>
          <w:b/>
        </w:rPr>
        <w:t>、税费：</w:t>
      </w:r>
    </w:p>
    <w:p>
      <w:pPr>
        <w:pStyle w:val="null3"/>
        <w:ind w:firstLine="420"/>
        <w:jc w:val="both"/>
      </w:pPr>
      <w:r>
        <w:rPr>
          <w:sz w:val="21"/>
        </w:rPr>
        <w:t>1.</w:t>
      </w:r>
      <w:r>
        <w:rPr>
          <w:sz w:val="21"/>
        </w:rPr>
        <w:t>本合同实施过程中所发生的一切税费及不可预见费均由乙方承担。</w:t>
      </w:r>
    </w:p>
    <w:p>
      <w:pPr>
        <w:pStyle w:val="null3"/>
        <w:ind w:firstLine="420"/>
        <w:jc w:val="both"/>
      </w:pPr>
      <w:r>
        <w:rPr>
          <w:sz w:val="21"/>
        </w:rPr>
        <w:t>2.</w:t>
      </w:r>
      <w:r>
        <w:rPr>
          <w:sz w:val="21"/>
        </w:rPr>
        <w:t>乙方依照税务规章优先在合同履约地开具发票及纳税，咨询：</w:t>
      </w:r>
      <w:r>
        <w:rPr>
          <w:sz w:val="21"/>
        </w:rPr>
        <w:t>0757-12366</w:t>
      </w:r>
      <w:r>
        <w:rPr>
          <w:sz w:val="21"/>
        </w:rPr>
        <w:t>。</w:t>
      </w:r>
    </w:p>
    <w:p>
      <w:pPr>
        <w:pStyle w:val="null3"/>
        <w:ind w:firstLine="422"/>
        <w:jc w:val="both"/>
      </w:pPr>
      <w:r>
        <w:rPr>
          <w:sz w:val="21"/>
          <w:b/>
        </w:rPr>
        <w:t>十</w:t>
      </w:r>
      <w:r>
        <w:rPr>
          <w:sz w:val="21"/>
          <w:b/>
        </w:rPr>
        <w:t>四</w:t>
      </w:r>
      <w:r>
        <w:rPr>
          <w:sz w:val="21"/>
          <w:b/>
        </w:rPr>
        <w:t>、合同生效与合同备案：</w:t>
      </w:r>
    </w:p>
    <w:p>
      <w:pPr>
        <w:pStyle w:val="null3"/>
        <w:ind w:firstLine="420"/>
        <w:jc w:val="both"/>
      </w:pPr>
      <w:r>
        <w:rPr>
          <w:sz w:val="21"/>
        </w:rPr>
        <w:t>1.</w:t>
      </w:r>
      <w:r>
        <w:rPr>
          <w:sz w:val="21"/>
        </w:rPr>
        <w:t>本合同在甲乙双方法人代表或其授权代表签字盖章后生效。</w:t>
      </w:r>
    </w:p>
    <w:p>
      <w:pPr>
        <w:pStyle w:val="null3"/>
        <w:ind w:firstLine="420"/>
        <w:jc w:val="both"/>
      </w:pPr>
      <w:r>
        <w:rPr>
          <w:sz w:val="21"/>
        </w:rPr>
        <w:t>2.</w:t>
      </w:r>
      <w:r>
        <w:rPr>
          <w:sz w:val="21"/>
        </w:rPr>
        <w:t>自采购合同签订之日起</w:t>
      </w:r>
      <w:r>
        <w:rPr>
          <w:sz w:val="21"/>
        </w:rPr>
        <w:t>7</w:t>
      </w:r>
      <w:r>
        <w:rPr>
          <w:sz w:val="21"/>
        </w:rPr>
        <w:t>个工作日内，由甲方按照有关规定将采购合同副本报同级人民政府财政部门（政府采购管理部门）备案。</w:t>
      </w:r>
    </w:p>
    <w:p>
      <w:pPr>
        <w:pStyle w:val="null3"/>
        <w:ind w:firstLine="422"/>
        <w:jc w:val="both"/>
      </w:pPr>
      <w:r>
        <w:rPr>
          <w:sz w:val="21"/>
          <w:b/>
        </w:rPr>
        <w:t>十</w:t>
      </w:r>
      <w:r>
        <w:rPr>
          <w:sz w:val="21"/>
          <w:b/>
        </w:rPr>
        <w:t>五</w:t>
      </w:r>
      <w:r>
        <w:rPr>
          <w:sz w:val="21"/>
          <w:b/>
        </w:rPr>
        <w:t>、乙方应提供的资料内容：</w:t>
      </w:r>
    </w:p>
    <w:p>
      <w:pPr>
        <w:pStyle w:val="null3"/>
        <w:ind w:firstLine="420"/>
        <w:jc w:val="both"/>
      </w:pPr>
      <w:r>
        <w:rPr>
          <w:sz w:val="21"/>
          <w:u w:val="single"/>
        </w:rPr>
        <w:t xml:space="preserve">                                                       </w:t>
      </w:r>
      <w:r>
        <w:rPr>
          <w:sz w:val="21"/>
        </w:rPr>
        <w:t>。</w:t>
      </w:r>
    </w:p>
    <w:p>
      <w:pPr>
        <w:pStyle w:val="null3"/>
        <w:ind w:firstLine="422"/>
        <w:jc w:val="both"/>
      </w:pPr>
      <w:r>
        <w:rPr>
          <w:sz w:val="21"/>
          <w:b/>
        </w:rPr>
        <w:t>十</w:t>
      </w:r>
      <w:r>
        <w:rPr>
          <w:sz w:val="21"/>
          <w:b/>
        </w:rPr>
        <w:t>六</w:t>
      </w:r>
      <w:r>
        <w:rPr>
          <w:sz w:val="21"/>
          <w:b/>
        </w:rPr>
        <w:t>、关于政府采购合同融资</w:t>
      </w:r>
    </w:p>
    <w:p>
      <w:pPr>
        <w:pStyle w:val="null3"/>
        <w:ind w:firstLine="420"/>
        <w:jc w:val="both"/>
      </w:pPr>
      <w:r>
        <w:rPr>
          <w:sz w:val="21"/>
        </w:rPr>
        <w:t>1.</w:t>
      </w:r>
      <w:r>
        <w:rPr>
          <w:sz w:val="21"/>
        </w:rPr>
        <w:t>乙方是否已申请政府采购合同融资：</w:t>
      </w:r>
      <w:r>
        <w:rPr>
          <w:sz w:val="21"/>
          <w:u w:val="single"/>
        </w:rPr>
        <w:t xml:space="preserve"> </w:t>
      </w:r>
      <w:r>
        <w:rPr>
          <w:sz w:val="21"/>
          <w:u w:val="single"/>
        </w:rPr>
        <w:t>是</w:t>
      </w:r>
      <w:r>
        <w:rPr>
          <w:sz w:val="21"/>
          <w:u w:val="single"/>
        </w:rPr>
        <w:t>/</w:t>
      </w:r>
      <w:r>
        <w:rPr>
          <w:sz w:val="21"/>
          <w:u w:val="single"/>
        </w:rPr>
        <w:t xml:space="preserve">否 </w:t>
      </w:r>
      <w:r>
        <w:rPr>
          <w:sz w:val="21"/>
        </w:rPr>
        <w:t>；</w:t>
      </w:r>
    </w:p>
    <w:p>
      <w:pPr>
        <w:pStyle w:val="null3"/>
        <w:ind w:firstLine="420"/>
        <w:jc w:val="both"/>
      </w:pPr>
      <w:r>
        <w:rPr>
          <w:sz w:val="21"/>
        </w:rPr>
        <w:t>2.</w:t>
      </w:r>
      <w:r>
        <w:rPr>
          <w:sz w:val="21"/>
        </w:rPr>
        <w:t>融资银行及联系方式：。</w:t>
      </w:r>
    </w:p>
    <w:p>
      <w:pPr>
        <w:pStyle w:val="null3"/>
        <w:ind w:firstLine="420"/>
        <w:jc w:val="both"/>
      </w:pPr>
      <w:r>
        <w:rPr>
          <w:sz w:val="21"/>
        </w:rPr>
        <w:t>3.</w:t>
      </w:r>
      <w:r>
        <w:rPr>
          <w:sz w:val="21"/>
        </w:rPr>
        <w:t>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sz w:val="21"/>
          <w:b/>
        </w:rPr>
        <w:t>。</w:t>
      </w:r>
    </w:p>
    <w:p>
      <w:pPr>
        <w:pStyle w:val="null3"/>
        <w:ind w:firstLine="422"/>
        <w:jc w:val="both"/>
      </w:pPr>
      <w:r>
        <w:rPr>
          <w:sz w:val="21"/>
          <w:b/>
        </w:rPr>
        <w:t>十</w:t>
      </w:r>
      <w:r>
        <w:rPr>
          <w:sz w:val="21"/>
          <w:b/>
        </w:rPr>
        <w:t>七</w:t>
      </w:r>
      <w:r>
        <w:rPr>
          <w:sz w:val="21"/>
          <w:b/>
        </w:rPr>
        <w:t>、其它：</w:t>
      </w:r>
    </w:p>
    <w:p>
      <w:pPr>
        <w:pStyle w:val="null3"/>
        <w:ind w:firstLine="420"/>
        <w:jc w:val="both"/>
      </w:pPr>
      <w:r>
        <w:rPr>
          <w:sz w:val="21"/>
        </w:rPr>
        <w:t>1.</w:t>
      </w:r>
      <w:r>
        <w:rPr>
          <w:sz w:val="21"/>
        </w:rPr>
        <w:t>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pStyle w:val="null3"/>
        <w:ind w:firstLine="420"/>
        <w:jc w:val="both"/>
      </w:pPr>
      <w:r>
        <w:rPr>
          <w:sz w:val="21"/>
        </w:rPr>
        <w:t>2.</w:t>
      </w:r>
      <w:r>
        <w:rPr>
          <w:sz w:val="21"/>
        </w:rPr>
        <w:t>如一方（包括联系人）地址、电话、传真号码有变更，应在变更后</w:t>
      </w:r>
      <w:r>
        <w:rPr>
          <w:sz w:val="21"/>
        </w:rPr>
        <w:t>3</w:t>
      </w:r>
      <w:r>
        <w:rPr>
          <w:sz w:val="21"/>
        </w:rPr>
        <w:t>个工作日内书面通知对方联系人或负责人，否则，因此造成的损失由未履行通知义务方承担相应责任。</w:t>
      </w:r>
    </w:p>
    <w:p>
      <w:pPr>
        <w:pStyle w:val="null3"/>
        <w:ind w:firstLine="420"/>
        <w:jc w:val="both"/>
      </w:pPr>
      <w:r>
        <w:rPr>
          <w:sz w:val="21"/>
        </w:rPr>
        <w:t>3.</w:t>
      </w:r>
      <w:r>
        <w:rPr>
          <w:sz w:val="21"/>
        </w:rPr>
        <w:t>未经甲方书面同意，乙方不得擅自向第三方转让其主体性和关键性合同义务。</w:t>
      </w:r>
    </w:p>
    <w:p>
      <w:pPr>
        <w:pStyle w:val="null3"/>
        <w:ind w:firstLine="420"/>
        <w:jc w:val="both"/>
      </w:pPr>
      <w:r>
        <w:rPr>
          <w:sz w:val="21"/>
        </w:rPr>
        <w:t>4.</w:t>
      </w:r>
      <w:r>
        <w:rPr>
          <w:sz w:val="21"/>
        </w:rPr>
        <w:t>本合同一式份，甲方执份，乙方执份，代理机构一份。</w:t>
      </w:r>
    </w:p>
    <w:p>
      <w:pPr>
        <w:pStyle w:val="null3"/>
        <w:ind w:firstLine="420"/>
        <w:jc w:val="both"/>
      </w:pPr>
      <w:r>
        <w:rPr>
          <w:sz w:val="21"/>
        </w:rPr>
        <w:t>5.</w:t>
      </w:r>
      <w:r>
        <w:rPr>
          <w:sz w:val="21"/>
        </w:rPr>
        <w:t>本合同（含附件）共计页，缺页之合同为无效合同。</w:t>
      </w:r>
    </w:p>
    <w:p>
      <w:pPr>
        <w:pStyle w:val="null3"/>
        <w:ind w:firstLine="420"/>
        <w:jc w:val="both"/>
      </w:pPr>
      <w:r>
        <w:rPr>
          <w:sz w:val="21"/>
        </w:rPr>
        <w:t>6.</w:t>
      </w:r>
      <w:r>
        <w:rPr>
          <w:sz w:val="21"/>
        </w:rPr>
        <w:t>本合同签约履约地点：广东省佛山市。</w:t>
      </w:r>
    </w:p>
    <w:p>
      <w:pPr>
        <w:pStyle w:val="null3"/>
        <w:ind w:firstLine="420"/>
        <w:jc w:val="both"/>
      </w:pPr>
      <w:r>
        <w:rPr>
          <w:sz w:val="21"/>
        </w:rPr>
        <w:t>7.</w:t>
      </w:r>
      <w:r>
        <w:rPr>
          <w:sz w:val="21"/>
        </w:rPr>
        <w:t>本合同所指</w:t>
      </w:r>
      <w:r>
        <w:rPr>
          <w:sz w:val="21"/>
        </w:rPr>
        <w:t>“</w:t>
      </w:r>
      <w:r>
        <w:rPr>
          <w:sz w:val="21"/>
        </w:rPr>
        <w:t>书面通知</w:t>
      </w:r>
      <w:r>
        <w:rPr>
          <w:sz w:val="21"/>
        </w:rPr>
        <w:t>”</w:t>
      </w:r>
      <w:r>
        <w:rPr>
          <w:sz w:val="21"/>
        </w:rPr>
        <w:t>包括但不限于短信、电子邮件等数据电文的通知形式，到达时间以民事诉讼法的规定为准，但进行书面通知前后，通知方均有义务电话确认通知事项。</w:t>
      </w:r>
    </w:p>
    <w:p>
      <w:pPr>
        <w:pStyle w:val="null3"/>
        <w:ind w:firstLine="420"/>
        <w:jc w:val="both"/>
      </w:pPr>
      <w:r>
        <w:rPr>
          <w:sz w:val="21"/>
        </w:rPr>
        <w:t>8.</w:t>
      </w:r>
      <w:r>
        <w:rPr>
          <w:sz w:val="21"/>
        </w:rPr>
        <w:t>双方均已对以上各条款及附件作充分了解，并明确理解由此而产生的相关权责。</w:t>
      </w:r>
    </w:p>
    <w:tbl>
      <w:tblPr>
        <w:tblW w:w="0" w:type="auto"/>
        <w:tblBorders>
          <w:top w:val="none" w:color="000000" w:sz="4"/>
          <w:left w:val="none" w:color="000000" w:sz="4"/>
          <w:bottom w:val="none" w:color="000000" w:sz="4"/>
          <w:right w:val="none" w:color="000000" w:sz="4"/>
          <w:insideH w:val="none"/>
          <w:insideV w:val="none"/>
        </w:tblBorders>
      </w:tblPr>
      <w:tblGrid>
        <w:gridCol w:w="4206"/>
        <w:gridCol w:w="3950"/>
        <w:gridCol w:w="150"/>
      </w:tblGrid>
      <w:tr>
        <w:tc>
          <w:tcPr>
            <w:tcW w:type="dxa" w:w="4206"/>
            <w:tcBorders>
              <w:top w:val="none" w:color="000000" w:sz="4"/>
              <w:left w:val="none" w:color="000000" w:sz="4"/>
              <w:bottom w:val="none" w:color="000000" w:sz="4"/>
              <w:right w:val="dashed" w:color="000000" w:sz="4"/>
            </w:tcBorders>
            <w:tcMar>
              <w:top w:type="dxa" w:w="0"/>
              <w:left w:type="dxa" w:w="105"/>
              <w:bottom w:type="dxa" w:w="0"/>
              <w:right w:type="dxa" w:w="105"/>
            </w:tcMar>
            <w:vAlign w:val="top"/>
          </w:tcPr>
          <w:p>
            <w:pPr>
              <w:pStyle w:val="null3"/>
              <w:ind w:firstLine="422"/>
              <w:jc w:val="both"/>
            </w:pPr>
            <w:r>
              <w:rPr>
                <w:sz w:val="21"/>
                <w:b/>
              </w:rPr>
              <w:t>甲方（盖章）：</w:t>
            </w:r>
          </w:p>
          <w:p>
            <w:pPr>
              <w:pStyle w:val="null3"/>
              <w:ind w:firstLine="420"/>
              <w:jc w:val="both"/>
            </w:pPr>
            <w:r>
              <w:rPr>
                <w:sz w:val="21"/>
              </w:rPr>
              <w:t>代表：</w:t>
            </w:r>
          </w:p>
          <w:p>
            <w:pPr>
              <w:pStyle w:val="null3"/>
              <w:ind w:firstLine="420"/>
              <w:jc w:val="both"/>
            </w:pPr>
            <w:r>
              <w:rPr>
                <w:sz w:val="21"/>
              </w:rPr>
              <w:t>地址：</w:t>
            </w:r>
          </w:p>
          <w:p>
            <w:pPr>
              <w:pStyle w:val="null3"/>
              <w:ind w:firstLine="420"/>
              <w:jc w:val="both"/>
            </w:pPr>
            <w:r>
              <w:rPr>
                <w:sz w:val="21"/>
              </w:rPr>
              <w:t>电话：</w:t>
            </w:r>
          </w:p>
          <w:p>
            <w:pPr>
              <w:pStyle w:val="null3"/>
              <w:ind w:firstLine="420"/>
              <w:jc w:val="both"/>
            </w:pPr>
            <w:r>
              <w:rPr>
                <w:sz w:val="21"/>
              </w:rPr>
              <w:t>传真：</w:t>
            </w:r>
          </w:p>
          <w:p>
            <w:pPr>
              <w:pStyle w:val="null3"/>
              <w:ind w:firstLine="420"/>
              <w:jc w:val="both"/>
            </w:pP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p>
        </w:tc>
        <w:tc>
          <w:tcPr>
            <w:tcW w:type="dxa" w:w="395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2"/>
              <w:jc w:val="both"/>
            </w:pPr>
            <w:r>
              <w:rPr>
                <w:sz w:val="21"/>
                <w:b/>
              </w:rPr>
              <w:t>乙方（盖章）：</w:t>
            </w:r>
          </w:p>
          <w:p>
            <w:pPr>
              <w:pStyle w:val="null3"/>
              <w:ind w:firstLine="420"/>
              <w:jc w:val="both"/>
            </w:pPr>
            <w:r>
              <w:rPr>
                <w:sz w:val="21"/>
              </w:rPr>
              <w:t>代表：</w:t>
            </w:r>
          </w:p>
          <w:p>
            <w:pPr>
              <w:pStyle w:val="null3"/>
              <w:ind w:firstLine="420"/>
              <w:jc w:val="both"/>
            </w:pPr>
            <w:r>
              <w:rPr>
                <w:sz w:val="21"/>
              </w:rPr>
              <w:t>地址：</w:t>
            </w:r>
          </w:p>
          <w:p>
            <w:pPr>
              <w:pStyle w:val="null3"/>
              <w:ind w:firstLine="420"/>
              <w:jc w:val="both"/>
            </w:pPr>
            <w:r>
              <w:rPr>
                <w:sz w:val="21"/>
              </w:rPr>
              <w:t>电话：</w:t>
            </w:r>
          </w:p>
          <w:p>
            <w:pPr>
              <w:pStyle w:val="null3"/>
              <w:ind w:firstLine="420"/>
              <w:jc w:val="both"/>
            </w:pPr>
            <w:r>
              <w:rPr>
                <w:sz w:val="21"/>
              </w:rPr>
              <w:t>传真：</w:t>
            </w:r>
          </w:p>
          <w:p>
            <w:pPr>
              <w:pStyle w:val="null3"/>
              <w:ind w:firstLine="420"/>
              <w:jc w:val="both"/>
            </w:pP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p>
        </w:tc>
        <w:tc>
          <w:tcPr>
            <w:tcW w:type="dxa" w:w="15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jc w:val="both"/>
            </w:pPr>
          </w:p>
        </w:tc>
      </w:tr>
      <w:tr>
        <w:tc>
          <w:tcPr>
            <w:tcW w:type="dxa" w:w="4206"/>
            <w:tcBorders>
              <w:top w:val="none" w:color="000000" w:sz="4"/>
              <w:left w:val="none" w:color="000000" w:sz="4"/>
              <w:bottom w:val="single" w:color="FFFFFF" w:sz="4"/>
              <w:right w:val="dashed" w:color="000000" w:sz="4"/>
            </w:tcBorders>
            <w:tcMar>
              <w:top w:type="dxa" w:w="0"/>
              <w:left w:type="dxa" w:w="105"/>
              <w:bottom w:type="dxa" w:w="0"/>
              <w:right w:type="dxa" w:w="105"/>
            </w:tcMar>
            <w:vAlign w:val="top"/>
          </w:tcPr>
          <w:p/>
        </w:tc>
        <w:tc>
          <w:tcPr>
            <w:tcW w:type="dxa" w:w="4100"/>
            <w:gridSpan w:val="2"/>
            <w:tcBorders>
              <w:top w:val="none" w:color="000000" w:sz="4"/>
              <w:left w:val="none" w:color="000000" w:sz="4"/>
              <w:bottom w:val="single" w:color="FFFFFF" w:sz="4"/>
              <w:right w:val="none" w:color="000000" w:sz="4"/>
            </w:tcBorders>
            <w:tcMar>
              <w:top w:type="dxa" w:w="0"/>
              <w:left w:type="dxa" w:w="105"/>
              <w:bottom w:type="dxa" w:w="0"/>
              <w:right w:type="dxa" w:w="105"/>
            </w:tcMar>
            <w:vAlign w:val="top"/>
          </w:tcPr>
          <w:p>
            <w:pPr>
              <w:pStyle w:val="null3"/>
              <w:jc w:val="both"/>
            </w:pPr>
            <w:r>
              <w:rPr>
                <w:sz w:val="21"/>
                <w:b/>
              </w:rPr>
              <w:t>收款方、开票方须与乙方一致，专户为：</w:t>
            </w:r>
          </w:p>
          <w:p>
            <w:pPr>
              <w:pStyle w:val="null3"/>
              <w:ind w:firstLine="420"/>
              <w:jc w:val="both"/>
            </w:pPr>
            <w:r>
              <w:rPr>
                <w:sz w:val="21"/>
              </w:rPr>
              <w:t>开户名称：</w:t>
            </w:r>
          </w:p>
          <w:p>
            <w:pPr>
              <w:pStyle w:val="null3"/>
              <w:ind w:firstLine="420"/>
              <w:jc w:val="both"/>
            </w:pPr>
            <w:r>
              <w:rPr>
                <w:sz w:val="21"/>
              </w:rPr>
              <w:t>银行账号：</w:t>
            </w:r>
          </w:p>
          <w:p>
            <w:pPr>
              <w:pStyle w:val="null3"/>
              <w:ind w:firstLine="420"/>
              <w:jc w:val="both"/>
            </w:pPr>
            <w:r>
              <w:rPr>
                <w:sz w:val="21"/>
              </w:rPr>
              <w:t>开户行：</w:t>
            </w:r>
          </w:p>
        </w:tc>
      </w:tr>
    </w:tbl>
    <w:p>
      <w:pPr>
        <w:pStyle w:val="null3"/>
        <w:ind w:firstLine="420"/>
        <w:jc w:val="both"/>
      </w:pPr>
      <w:r>
        <w:rPr>
          <w:sz w:val="24"/>
          <w:b/>
        </w:rPr>
        <w:t>合同附件清单：</w:t>
      </w:r>
    </w:p>
    <w:p>
      <w:pPr>
        <w:pStyle w:val="null3"/>
        <w:ind w:firstLine="422"/>
        <w:jc w:val="both"/>
      </w:pPr>
      <w:r>
        <w:rPr>
          <w:sz w:val="21"/>
          <w:b/>
        </w:rPr>
        <w:t>附件一、《报价清单明细表》</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440001-2025-00126</w:t>
      </w:r>
    </w:p>
    <w:p>
      <w:pPr>
        <w:pStyle w:val="null3"/>
        <w:jc w:val="center"/>
        <w:outlineLvl w:val="3"/>
      </w:pPr>
      <w:r>
        <w:rPr>
          <w:sz w:val="24"/>
          <w:b/>
        </w:rPr>
        <w:t>采购项目编号：</w:t>
      </w:r>
      <w:r>
        <w:rPr>
          <w:sz w:val="24"/>
          <w:b/>
        </w:rPr>
        <w:t>440001-2025-00126</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佛山市粤创招标代理有限公司</w:t>
      </w:r>
    </w:p>
    <w:p>
      <w:pPr>
        <w:pStyle w:val="null3"/>
        <w:ind w:firstLine="480"/>
      </w:pPr>
      <w:r>
        <w:rPr/>
        <w:t xml:space="preserve"> 你方组织的</w:t>
      </w:r>
      <w:r>
        <w:rPr>
          <w:u w:val="single"/>
        </w:rPr>
        <w:t>“</w:t>
      </w:r>
      <w:r>
        <w:rPr>
          <w:u w:val="single"/>
        </w:rPr>
        <w:t>2025年食堂食材配送服务</w:t>
      </w:r>
      <w:r>
        <w:rPr>
          <w:u w:val="single"/>
        </w:rPr>
        <w:t>”</w:t>
      </w:r>
      <w:r>
        <w:rPr/>
        <w:t>项目的竞争性磋商[采购项目编号为：</w:t>
      </w:r>
      <w:r>
        <w:rPr>
          <w:u w:val="single"/>
        </w:rPr>
        <w:t>440001-2025-00126</w:t>
      </w:r>
      <w:r>
        <w:rPr/>
        <w:t>]，我方愿参与响应。</w:t>
      </w:r>
    </w:p>
    <w:p>
      <w:pPr>
        <w:pStyle w:val="null3"/>
        <w:ind w:firstLine="480"/>
      </w:pPr>
      <w:r>
        <w:rPr/>
        <w:t>我方确认收到贵方提供的</w:t>
      </w:r>
      <w:r>
        <w:rPr>
          <w:u w:val="single"/>
        </w:rPr>
        <w:t>“</w:t>
      </w:r>
      <w:r>
        <w:rPr>
          <w:u w:val="single"/>
        </w:rPr>
        <w:t>2025年食堂食材配送服务</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则贵方将不予退还响应保证金。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（十）我方与其他供应商不存在单位负责人为同一人或者存在直接控股、管理关系。</w:t>
      </w:r>
    </w:p>
    <w:p>
      <w:pPr>
        <w:pStyle w:val="null3"/>
        <w:ind w:firstLine="480"/>
      </w:pPr>
      <w:r>
        <w:rPr/>
        <w:t>（十一）我方承诺未为本项目提供整体设计、规范编制或者项目管理、监理、检测等服务。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（十五）我方对在本函及响应文件中所作的所有承诺承担法律责任。</w:t>
      </w:r>
    </w:p>
    <w:p>
      <w:pPr>
        <w:pStyle w:val="null3"/>
        <w:ind w:firstLine="480"/>
      </w:pPr>
      <w:r>
        <w:rPr/>
        <w:t>（十六）所有与本磋商有关的函件请发往下列地址：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佛山市粤创招标代理有限公司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2025年食堂食材配送服务</w:t>
      </w:r>
      <w:r>
        <w:rPr/>
        <w:t>”项目采购[采购项目编号为</w:t>
      </w:r>
      <w:r>
        <w:rPr/>
        <w:t>440001-2025-00126</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佛山市三水区人民检察院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佛山市粤创招标代理有限公司</w:t>
      </w:r>
    </w:p>
    <w:p>
      <w:pPr>
        <w:pStyle w:val="null3"/>
        <w:ind w:firstLine="480"/>
      </w:pPr>
      <w:r>
        <w:rPr/>
        <w:t>我单位参加贵公司组织的</w:t>
      </w:r>
      <w:r>
        <w:rPr/>
        <w:t>2025年食堂食材配送服务</w:t>
      </w:r>
      <w:r>
        <w:rPr/>
        <w:t>（采购项目编号：</w:t>
      </w:r>
      <w:r>
        <w:rPr/>
        <w:t>440001-2025-00126</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佛山市粤创招标代理有限公司</w:t>
      </w:r>
    </w:p>
    <w:p>
      <w:pPr>
        <w:pStyle w:val="null3"/>
        <w:ind w:firstLine="480"/>
      </w:pPr>
      <w:r>
        <w:rPr/>
        <w:t>我单位已登记并准备参与“</w:t>
      </w:r>
      <w:r>
        <w:rPr/>
        <w:t>2025年食堂食材配送服务</w:t>
      </w:r>
      <w:r>
        <w:rPr/>
        <w:t>”项目（采购项目编号：</w:t>
      </w:r>
      <w:r>
        <w:rPr/>
        <w:t>440001-2025-00126</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